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50" w:rsidRPr="009705AF" w:rsidRDefault="006F2E50" w:rsidP="006F2E50">
      <w:pPr>
        <w:spacing w:line="0" w:lineRule="atLeast"/>
        <w:jc w:val="both"/>
        <w:rPr>
          <w:b/>
          <w:bCs/>
          <w:sz w:val="4"/>
          <w:szCs w:val="4"/>
          <w:rtl/>
          <w:lang w:bidi="fa-IR"/>
        </w:rPr>
      </w:pPr>
    </w:p>
    <w:p w:rsidR="006F2E50" w:rsidRPr="009705AF" w:rsidRDefault="006F2E50" w:rsidP="006F2E50">
      <w:pPr>
        <w:spacing w:line="0" w:lineRule="atLeast"/>
        <w:jc w:val="both"/>
        <w:rPr>
          <w:b/>
          <w:bCs/>
          <w:szCs w:val="24"/>
          <w:rtl/>
        </w:rPr>
      </w:pPr>
    </w:p>
    <w:p w:rsidR="006F2E50" w:rsidRPr="00EF6377" w:rsidRDefault="006F2E50" w:rsidP="006F2E50">
      <w:pPr>
        <w:jc w:val="center"/>
        <w:rPr>
          <w:rFonts w:ascii="IranNastaliq" w:hAnsi="IranNastaliq" w:cs="IranNastaliq"/>
          <w:sz w:val="52"/>
          <w:szCs w:val="52"/>
          <w:rtl/>
          <w:lang w:bidi="fa-IR"/>
        </w:rPr>
      </w:pPr>
      <w:r w:rsidRPr="00EF6377">
        <w:rPr>
          <w:rFonts w:ascii="IranNastaliq" w:hAnsi="IranNastaliq" w:cs="IranNastaliq"/>
          <w:noProof/>
          <w:sz w:val="52"/>
          <w:szCs w:val="52"/>
          <w:rtl/>
        </w:rPr>
        <w:drawing>
          <wp:inline distT="0" distB="0" distL="0" distR="0">
            <wp:extent cx="1598491" cy="1466850"/>
            <wp:effectExtent l="0" t="0" r="0" b="0"/>
            <wp:docPr id="4" name="Picture 3" descr="C:\Users\h.shokri\Dropbox\خدمات توانمندسازی\مرک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.shokri\Dropbox\خدمات توانمندسازی\مرک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66" cy="149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50" w:rsidRPr="00EF6377" w:rsidRDefault="006F2E50" w:rsidP="006F2E50">
      <w:pPr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EF6377">
        <w:rPr>
          <w:rFonts w:ascii="IranNastaliq" w:hAnsi="IranNastaliq" w:cs="IranNastaliq" w:hint="cs"/>
          <w:sz w:val="44"/>
          <w:szCs w:val="44"/>
          <w:rtl/>
          <w:lang w:bidi="fa-IR"/>
        </w:rPr>
        <w:t>شیوه نامه</w:t>
      </w:r>
      <w:r w:rsidRPr="00EF6377">
        <w:rPr>
          <w:rFonts w:ascii="IranNastaliq" w:hAnsi="IranNastaliq" w:cs="IranNastaliq"/>
          <w:sz w:val="44"/>
          <w:szCs w:val="44"/>
          <w:rtl/>
          <w:lang w:bidi="fa-IR"/>
        </w:rPr>
        <w:t>‌</w:t>
      </w:r>
      <w:r w:rsidRPr="00EF6377">
        <w:rPr>
          <w:rFonts w:ascii="IranNastaliq" w:hAnsi="IranNastaliq" w:cs="IranNastaliq" w:hint="cs"/>
          <w:sz w:val="44"/>
          <w:szCs w:val="44"/>
          <w:rtl/>
          <w:lang w:bidi="fa-IR"/>
        </w:rPr>
        <w:t xml:space="preserve">  حمایت از</w:t>
      </w:r>
    </w:p>
    <w:p w:rsidR="006F2E50" w:rsidRPr="00EF6377" w:rsidRDefault="006F2E50" w:rsidP="0047022E">
      <w:pPr>
        <w:bidi w:val="0"/>
        <w:jc w:val="center"/>
        <w:rPr>
          <w:rFonts w:ascii="IranNastaliq" w:hAnsi="IranNastaliq" w:cs="IranNastaliq"/>
          <w:sz w:val="60"/>
          <w:szCs w:val="60"/>
          <w:lang w:bidi="fa-IR"/>
        </w:rPr>
      </w:pPr>
      <w:r w:rsidRPr="00EF6377">
        <w:rPr>
          <w:rFonts w:ascii="IranNastaliq" w:hAnsi="IranNastaliq" w:cs="IranNastaliq" w:hint="cs"/>
          <w:sz w:val="60"/>
          <w:szCs w:val="60"/>
          <w:rtl/>
          <w:lang w:bidi="fa-IR"/>
        </w:rPr>
        <w:t xml:space="preserve">بسته جامع حمایت از </w:t>
      </w:r>
      <w:r w:rsidRPr="00EF6377">
        <w:rPr>
          <w:rFonts w:ascii="IranNastaliq" w:hAnsi="IranNastaliq" w:cs="IranNastaliq"/>
          <w:sz w:val="60"/>
          <w:szCs w:val="60"/>
          <w:rtl/>
          <w:lang w:bidi="fa-IR"/>
        </w:rPr>
        <w:t>خدمات راه انداز</w:t>
      </w:r>
      <w:r w:rsidRPr="00EF6377">
        <w:rPr>
          <w:rFonts w:ascii="IranNastaliq" w:hAnsi="IranNastaliq" w:cs="IranNastaliq" w:hint="cs"/>
          <w:sz w:val="60"/>
          <w:szCs w:val="60"/>
          <w:rtl/>
          <w:lang w:bidi="fa-IR"/>
        </w:rPr>
        <w:t>ی</w:t>
      </w:r>
      <w:r>
        <w:rPr>
          <w:rFonts w:ascii="IranNastaliq" w:hAnsi="IranNastaliq" w:cs="IranNastaliq"/>
          <w:sz w:val="60"/>
          <w:szCs w:val="60"/>
          <w:rtl/>
          <w:lang w:bidi="fa-IR"/>
        </w:rPr>
        <w:t xml:space="preserve"> کسب و کا</w:t>
      </w:r>
      <w:r>
        <w:rPr>
          <w:rFonts w:ascii="IranNastaliq" w:hAnsi="IranNastaliq" w:cs="IranNastaliq" w:hint="cs"/>
          <w:sz w:val="60"/>
          <w:szCs w:val="60"/>
          <w:rtl/>
          <w:lang w:bidi="fa-IR"/>
        </w:rPr>
        <w:t>ر</w:t>
      </w:r>
      <w:r w:rsidR="0047022E">
        <w:rPr>
          <w:rFonts w:ascii="IranNastaliq" w:hAnsi="IranNastaliq" w:cs="IranNastaliq"/>
          <w:sz w:val="60"/>
          <w:szCs w:val="60"/>
          <w:rtl/>
          <w:lang w:bidi="fa-IR"/>
        </w:rPr>
        <w:br/>
      </w:r>
      <w:r>
        <w:rPr>
          <w:rFonts w:ascii="IranNastaliq" w:hAnsi="IranNastaliq" w:cs="IranNastaliq" w:hint="cs"/>
          <w:sz w:val="60"/>
          <w:szCs w:val="60"/>
          <w:rtl/>
          <w:lang w:bidi="fa-IR"/>
        </w:rPr>
        <w:t xml:space="preserve"> </w:t>
      </w:r>
      <w:r w:rsidR="005A0227">
        <w:rPr>
          <w:rFonts w:ascii="IranNastaliq" w:hAnsi="IranNastaliq" w:cs="IranNastaliq" w:hint="cs"/>
          <w:sz w:val="60"/>
          <w:szCs w:val="60"/>
          <w:rtl/>
          <w:lang w:bidi="fa-IR"/>
        </w:rPr>
        <w:t>هسته‌های</w:t>
      </w:r>
      <w:r>
        <w:rPr>
          <w:rFonts w:ascii="IranNastaliq" w:hAnsi="IranNastaliq" w:cs="IranNastaliq" w:hint="cs"/>
          <w:sz w:val="60"/>
          <w:szCs w:val="60"/>
          <w:rtl/>
          <w:lang w:bidi="fa-IR"/>
        </w:rPr>
        <w:t xml:space="preserve"> مستعد</w:t>
      </w:r>
      <w:r w:rsidR="0047022E">
        <w:rPr>
          <w:rFonts w:ascii="IranNastaliq" w:hAnsi="IranNastaliq" w:cs="IranNastaliq" w:hint="cs"/>
          <w:sz w:val="60"/>
          <w:szCs w:val="60"/>
          <w:rtl/>
          <w:lang w:bidi="fa-IR"/>
        </w:rPr>
        <w:t xml:space="preserve"> دانش بنیان</w:t>
      </w:r>
    </w:p>
    <w:p w:rsidR="006F2E50" w:rsidRPr="00EF6377" w:rsidRDefault="005A0227" w:rsidP="005A0227">
      <w:pPr>
        <w:tabs>
          <w:tab w:val="left" w:pos="6085"/>
        </w:tabs>
        <w:rPr>
          <w:rFonts w:ascii="IranNastaliq" w:hAnsi="IranNastaliq" w:cs="IranNastaliq"/>
          <w:sz w:val="44"/>
          <w:szCs w:val="44"/>
          <w:lang w:bidi="fa-IR"/>
        </w:rPr>
      </w:pPr>
      <w:r>
        <w:rPr>
          <w:rFonts w:ascii="IranNastaliq" w:hAnsi="IranNastaliq" w:cs="IranNastaliq"/>
          <w:sz w:val="44"/>
          <w:szCs w:val="44"/>
          <w:rtl/>
          <w:lang w:bidi="fa-IR"/>
        </w:rPr>
        <w:tab/>
      </w:r>
    </w:p>
    <w:p w:rsidR="006F2E50" w:rsidRPr="00EF6377" w:rsidRDefault="006F2E50" w:rsidP="006F2E50">
      <w:pPr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EF6377">
        <w:rPr>
          <w:rFonts w:ascii="IranNastaliq" w:hAnsi="IranNastaliq" w:cs="IranNastaliq" w:hint="cs"/>
          <w:sz w:val="44"/>
          <w:szCs w:val="44"/>
          <w:rtl/>
          <w:lang w:bidi="fa-IR"/>
        </w:rPr>
        <w:t>مرکز شرکت‌ها و مؤسسات دانش بنیان</w:t>
      </w:r>
    </w:p>
    <w:p w:rsidR="006F2E50" w:rsidRPr="00EF6377" w:rsidRDefault="006F2E50" w:rsidP="006F2E50">
      <w:pPr>
        <w:jc w:val="center"/>
        <w:rPr>
          <w:rFonts w:ascii="IranNastaliq" w:hAnsi="IranNastaliq" w:cs="IranNastaliq"/>
          <w:sz w:val="44"/>
          <w:szCs w:val="44"/>
          <w:rtl/>
          <w:lang w:bidi="fa-IR"/>
        </w:rPr>
      </w:pPr>
      <w:r w:rsidRPr="00EF6377">
        <w:rPr>
          <w:rFonts w:ascii="IranNastaliq" w:hAnsi="IranNastaliq" w:cs="IranNastaliq" w:hint="cs"/>
          <w:sz w:val="44"/>
          <w:szCs w:val="44"/>
          <w:rtl/>
          <w:lang w:bidi="fa-IR"/>
        </w:rPr>
        <w:t>سال 1401</w:t>
      </w:r>
    </w:p>
    <w:p w:rsidR="006F2E50" w:rsidRPr="00EF6377" w:rsidRDefault="006F2E50" w:rsidP="006F2E50">
      <w:pPr>
        <w:jc w:val="center"/>
        <w:rPr>
          <w:rFonts w:ascii="IranNastaliq" w:hAnsi="IranNastaliq" w:cs="IranNastaliq"/>
          <w:sz w:val="100"/>
          <w:szCs w:val="100"/>
          <w:rtl/>
          <w:lang w:bidi="fa-IR"/>
        </w:rPr>
      </w:pPr>
    </w:p>
    <w:p w:rsidR="006F2E50" w:rsidRPr="009705AF" w:rsidRDefault="006F2E50" w:rsidP="006F2E50">
      <w:pPr>
        <w:spacing w:line="0" w:lineRule="atLeast"/>
        <w:jc w:val="both"/>
        <w:rPr>
          <w:b/>
          <w:bCs/>
          <w:rtl/>
        </w:rPr>
        <w:sectPr w:rsidR="006F2E50" w:rsidRPr="009705AF" w:rsidSect="008A0E57">
          <w:pgSz w:w="11906" w:h="16838" w:code="258"/>
          <w:pgMar w:top="964" w:right="851" w:bottom="970" w:left="851" w:header="720" w:footer="720" w:gutter="0"/>
          <w:cols w:space="720"/>
          <w:bidi/>
          <w:rtlGutter/>
        </w:sectPr>
      </w:pPr>
    </w:p>
    <w:p w:rsidR="006F2E50" w:rsidRPr="00EF6377" w:rsidRDefault="006F2E50" w:rsidP="006F2E50">
      <w:pPr>
        <w:pStyle w:val="14"/>
        <w:numPr>
          <w:ilvl w:val="0"/>
          <w:numId w:val="7"/>
        </w:numPr>
        <w:rPr>
          <w:b/>
          <w:bCs/>
          <w:sz w:val="28"/>
          <w:rtl/>
          <w:lang w:bidi="fa-IR"/>
        </w:rPr>
      </w:pPr>
      <w:bookmarkStart w:id="0" w:name="_Toc507849886"/>
      <w:bookmarkStart w:id="1" w:name="_GoBack"/>
      <w:r w:rsidRPr="00EF6377">
        <w:rPr>
          <w:rFonts w:hint="cs"/>
          <w:b/>
          <w:bCs/>
          <w:sz w:val="28"/>
          <w:rtl/>
          <w:lang w:bidi="fa-IR"/>
        </w:rPr>
        <w:lastRenderedPageBreak/>
        <w:t>مقدم</w:t>
      </w:r>
      <w:bookmarkEnd w:id="0"/>
      <w:r w:rsidRPr="00EF6377">
        <w:rPr>
          <w:rFonts w:hint="cs"/>
          <w:b/>
          <w:bCs/>
          <w:sz w:val="28"/>
          <w:rtl/>
          <w:lang w:bidi="fa-IR"/>
        </w:rPr>
        <w:t>ه</w:t>
      </w:r>
    </w:p>
    <w:p w:rsidR="006F2E50" w:rsidRDefault="0047022E" w:rsidP="0047022E">
      <w:pPr>
        <w:pStyle w:val="14"/>
        <w:ind w:firstLine="0"/>
        <w:rPr>
          <w:sz w:val="28"/>
          <w:rtl/>
          <w:lang w:bidi="fa-IR"/>
        </w:rPr>
      </w:pPr>
      <w:r>
        <w:rPr>
          <w:rFonts w:ascii="Tahoma" w:hAnsi="Tahoma" w:hint="cs"/>
          <w:sz w:val="28"/>
          <w:shd w:val="clear" w:color="auto" w:fill="FFFFFF"/>
          <w:rtl/>
        </w:rPr>
        <w:t xml:space="preserve">معاونت علمی و فناوری ریاست جمهوری </w:t>
      </w:r>
      <w:r w:rsidR="006F2E50" w:rsidRPr="00970732">
        <w:rPr>
          <w:rFonts w:ascii="Tahoma" w:hAnsi="Tahoma"/>
          <w:sz w:val="28"/>
          <w:shd w:val="clear" w:color="auto" w:fill="FFFFFF"/>
          <w:rtl/>
        </w:rPr>
        <w:t xml:space="preserve">به منظور 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>حمایت از</w:t>
      </w:r>
      <w:r w:rsidR="006F2E50" w:rsidRPr="00970732">
        <w:rPr>
          <w:rFonts w:ascii="Tahoma" w:hAnsi="Tahoma"/>
          <w:sz w:val="28"/>
          <w:shd w:val="clear" w:color="auto" w:fill="FFFFFF"/>
          <w:rtl/>
        </w:rPr>
        <w:t xml:space="preserve"> 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 xml:space="preserve">تیم‌های فناور، استارتاپ‌ها و کلیه شرکت‌های </w:t>
      </w:r>
      <w:r w:rsidR="006F2E50">
        <w:rPr>
          <w:rFonts w:ascii="Tahoma" w:hAnsi="Tahoma" w:hint="cs"/>
          <w:sz w:val="28"/>
          <w:shd w:val="clear" w:color="auto" w:fill="FFFFFF"/>
          <w:rtl/>
        </w:rPr>
        <w:t xml:space="preserve">مستعد دانش بنیان 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 xml:space="preserve">دارای تاییدیه </w:t>
      </w:r>
      <w:r>
        <w:rPr>
          <w:rFonts w:ascii="Tahoma" w:hAnsi="Tahoma" w:hint="cs"/>
          <w:sz w:val="28"/>
          <w:shd w:val="clear" w:color="auto" w:fill="FFFFFF"/>
          <w:rtl/>
        </w:rPr>
        <w:t>از</w:t>
      </w:r>
      <w:r w:rsidR="006F2E50">
        <w:rPr>
          <w:rFonts w:ascii="Tahoma" w:hAnsi="Tahoma" w:hint="cs"/>
          <w:sz w:val="28"/>
          <w:shd w:val="clear" w:color="auto" w:fill="FFFFFF"/>
          <w:rtl/>
        </w:rPr>
        <w:t xml:space="preserve"> مبادی </w:t>
      </w:r>
      <w:r>
        <w:rPr>
          <w:rFonts w:ascii="Tahoma" w:hAnsi="Tahoma" w:hint="cs"/>
          <w:sz w:val="28"/>
          <w:shd w:val="clear" w:color="auto" w:fill="FFFFFF"/>
          <w:rtl/>
        </w:rPr>
        <w:t>معین</w:t>
      </w:r>
      <w:r w:rsidR="006F2E50">
        <w:rPr>
          <w:rFonts w:ascii="Tahoma" w:hAnsi="Tahoma" w:hint="cs"/>
          <w:sz w:val="28"/>
          <w:shd w:val="clear" w:color="auto" w:fill="FFFFFF"/>
          <w:rtl/>
        </w:rPr>
        <w:t xml:space="preserve"> شده</w:t>
      </w:r>
      <w:r>
        <w:rPr>
          <w:rFonts w:ascii="Tahoma" w:hAnsi="Tahoma" w:hint="cs"/>
          <w:sz w:val="28"/>
          <w:shd w:val="clear" w:color="auto" w:fill="FFFFFF"/>
          <w:rtl/>
        </w:rPr>
        <w:t>،</w:t>
      </w:r>
      <w:r w:rsidR="006F2E50">
        <w:rPr>
          <w:rFonts w:ascii="Tahoma" w:hAnsi="Tahoma" w:hint="cs"/>
          <w:sz w:val="28"/>
          <w:shd w:val="clear" w:color="auto" w:fill="FFFFFF"/>
          <w:rtl/>
        </w:rPr>
        <w:t xml:space="preserve"> </w:t>
      </w:r>
      <w:r>
        <w:rPr>
          <w:rFonts w:ascii="Tahoma" w:hAnsi="Tahoma" w:hint="cs"/>
          <w:sz w:val="28"/>
          <w:shd w:val="clear" w:color="auto" w:fill="FFFFFF"/>
          <w:rtl/>
        </w:rPr>
        <w:t>برای راه‌اندازی کسب و کار و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 xml:space="preserve"> تاسیس شرکت اقدام به ایجاد </w:t>
      </w:r>
      <w:r w:rsidR="006F2E50">
        <w:rPr>
          <w:rFonts w:ascii="Tahoma" w:hAnsi="Tahoma" w:hint="cs"/>
          <w:sz w:val="28"/>
          <w:shd w:val="clear" w:color="auto" w:fill="FFFFFF"/>
          <w:rtl/>
        </w:rPr>
        <w:t>بسته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 xml:space="preserve"> حمایتی مرتبط کرده‌است. بدین</w:t>
      </w:r>
      <w:r w:rsidR="006F2E50" w:rsidRPr="00970732">
        <w:rPr>
          <w:rFonts w:ascii="Tahoma" w:hAnsi="Tahoma" w:hint="cs"/>
          <w:sz w:val="28"/>
          <w:shd w:val="clear" w:color="auto" w:fill="FFFFFF"/>
          <w:rtl/>
          <w:cs/>
        </w:rPr>
        <w:t xml:space="preserve">‎ترتیب تیم های فناور 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 xml:space="preserve">در صورت نیاز می‌توانند با صرف زمان کمتر و به صورت یکپارچه از خدمات این </w:t>
      </w:r>
      <w:r w:rsidR="006F2E50">
        <w:rPr>
          <w:rFonts w:ascii="Tahoma" w:hAnsi="Tahoma" w:hint="cs"/>
          <w:sz w:val="28"/>
          <w:shd w:val="clear" w:color="auto" w:fill="FFFFFF"/>
          <w:rtl/>
        </w:rPr>
        <w:t>بسته</w:t>
      </w:r>
      <w:r w:rsidR="006F2E50" w:rsidRPr="00970732">
        <w:rPr>
          <w:rFonts w:ascii="Tahoma" w:hAnsi="Tahoma" w:hint="cs"/>
          <w:sz w:val="28"/>
          <w:shd w:val="clear" w:color="auto" w:fill="FFFFFF"/>
          <w:rtl/>
        </w:rPr>
        <w:t xml:space="preserve"> بهره‌مند شوند.</w:t>
      </w:r>
      <w:r w:rsidR="006F2E50">
        <w:rPr>
          <w:rFonts w:ascii="Tahoma" w:hAnsi="Tahoma" w:hint="cs"/>
          <w:sz w:val="28"/>
          <w:shd w:val="clear" w:color="auto" w:fill="FFFFFF"/>
          <w:rtl/>
        </w:rPr>
        <w:t xml:space="preserve"> </w:t>
      </w:r>
      <w:r w:rsidR="006F2E50" w:rsidRPr="007D1460">
        <w:rPr>
          <w:rFonts w:hint="cs"/>
          <w:sz w:val="28"/>
          <w:rtl/>
          <w:lang w:bidi="fa-IR"/>
        </w:rPr>
        <w:t xml:space="preserve">در همین راستا معاونت علمی و فناوری ریاست جمهوری با توجه به شناخت نیازهای شرکت‌های </w:t>
      </w:r>
      <w:r w:rsidR="006F2E50">
        <w:rPr>
          <w:rFonts w:hint="cs"/>
          <w:sz w:val="28"/>
          <w:rtl/>
          <w:lang w:bidi="fa-IR"/>
        </w:rPr>
        <w:t xml:space="preserve">مورد حمایت </w:t>
      </w:r>
      <w:r w:rsidR="006F2E50" w:rsidRPr="007D1460">
        <w:rPr>
          <w:rFonts w:hint="cs"/>
          <w:sz w:val="28"/>
          <w:rtl/>
          <w:lang w:bidi="fa-IR"/>
        </w:rPr>
        <w:t xml:space="preserve">بخشی از هزینه‌های مربوط به خدمات </w:t>
      </w:r>
      <w:r w:rsidR="006F2E50">
        <w:rPr>
          <w:rFonts w:hint="cs"/>
          <w:sz w:val="28"/>
          <w:rtl/>
          <w:lang w:bidi="fa-IR"/>
        </w:rPr>
        <w:t>مذکور در</w:t>
      </w:r>
      <w:r w:rsidR="006F2E50" w:rsidRPr="007D1460">
        <w:rPr>
          <w:rFonts w:hint="cs"/>
          <w:sz w:val="28"/>
          <w:rtl/>
          <w:lang w:bidi="fa-IR"/>
        </w:rPr>
        <w:t xml:space="preserve"> </w:t>
      </w:r>
      <w:r w:rsidR="006F2E50">
        <w:rPr>
          <w:rFonts w:hint="cs"/>
          <w:sz w:val="28"/>
          <w:rtl/>
          <w:lang w:bidi="fa-IR"/>
        </w:rPr>
        <w:t>هسته</w:t>
      </w:r>
      <w:r w:rsidR="006F2E50" w:rsidRPr="007D1460">
        <w:rPr>
          <w:rFonts w:hint="cs"/>
          <w:sz w:val="28"/>
          <w:rtl/>
          <w:lang w:bidi="fa-IR"/>
        </w:rPr>
        <w:t xml:space="preserve">‌های </w:t>
      </w:r>
      <w:r w:rsidR="006F2E50">
        <w:rPr>
          <w:rFonts w:hint="cs"/>
          <w:sz w:val="28"/>
          <w:rtl/>
          <w:lang w:bidi="fa-IR"/>
        </w:rPr>
        <w:t xml:space="preserve">مستعد </w:t>
      </w:r>
      <w:r w:rsidR="006F2E50" w:rsidRPr="007D1460">
        <w:rPr>
          <w:rFonts w:hint="cs"/>
          <w:sz w:val="28"/>
          <w:rtl/>
          <w:lang w:bidi="fa-IR"/>
        </w:rPr>
        <w:t>دانش‌بنیان حمایت می‌نماید.</w:t>
      </w:r>
    </w:p>
    <w:p w:rsidR="006F2E50" w:rsidRPr="00651CD1" w:rsidRDefault="006F2E50" w:rsidP="006F2E50">
      <w:pPr>
        <w:pStyle w:val="14"/>
        <w:numPr>
          <w:ilvl w:val="0"/>
          <w:numId w:val="7"/>
        </w:numPr>
        <w:rPr>
          <w:b/>
          <w:bCs/>
          <w:lang w:bidi="fa-IR"/>
        </w:rPr>
      </w:pPr>
      <w:r w:rsidRPr="00651CD1">
        <w:rPr>
          <w:rFonts w:hint="cs"/>
          <w:b/>
          <w:bCs/>
          <w:sz w:val="28"/>
          <w:rtl/>
          <w:lang w:bidi="fa-IR"/>
        </w:rPr>
        <w:t xml:space="preserve">خدمات مشمول این </w:t>
      </w:r>
      <w:r>
        <w:rPr>
          <w:rFonts w:hint="cs"/>
          <w:b/>
          <w:bCs/>
          <w:sz w:val="28"/>
          <w:rtl/>
          <w:lang w:bidi="fa-IR"/>
        </w:rPr>
        <w:t>شیوه‌نامه</w:t>
      </w:r>
    </w:p>
    <w:p w:rsidR="006F2E50" w:rsidRPr="00EF6377" w:rsidRDefault="006F2E50" w:rsidP="006F2E50">
      <w:pPr>
        <w:pStyle w:val="14"/>
        <w:ind w:firstLine="0"/>
        <w:rPr>
          <w:rFonts w:ascii="Tahoma" w:hAnsi="Tahoma"/>
          <w:sz w:val="28"/>
          <w:shd w:val="clear" w:color="auto" w:fill="FFFFFF"/>
          <w:rtl/>
        </w:rPr>
      </w:pPr>
      <w:r w:rsidRPr="00EF6377">
        <w:rPr>
          <w:rFonts w:ascii="Tahoma" w:hAnsi="Tahoma" w:hint="cs"/>
          <w:sz w:val="28"/>
          <w:shd w:val="clear" w:color="auto" w:fill="FFFFFF"/>
          <w:rtl/>
        </w:rPr>
        <w:t>باتوجه به تیم</w:t>
      </w:r>
      <w:r w:rsidRPr="00EF6377">
        <w:rPr>
          <w:rFonts w:ascii="Tahoma" w:hAnsi="Tahoma" w:hint="cs"/>
          <w:sz w:val="28"/>
          <w:shd w:val="clear" w:color="auto" w:fill="FFFFFF"/>
          <w:rtl/>
          <w:cs/>
        </w:rPr>
        <w:t xml:space="preserve">‎های مورد حمایت این </w:t>
      </w:r>
      <w:r>
        <w:rPr>
          <w:rFonts w:ascii="Tahoma" w:hAnsi="Tahoma" w:hint="cs"/>
          <w:sz w:val="28"/>
          <w:shd w:val="clear" w:color="auto" w:fill="FFFFFF"/>
          <w:rtl/>
          <w:cs/>
        </w:rPr>
        <w:t xml:space="preserve">شیوه نامه، </w:t>
      </w:r>
      <w:r w:rsidRPr="00EF6377">
        <w:rPr>
          <w:rFonts w:ascii="Tahoma" w:hAnsi="Tahoma" w:hint="cs"/>
          <w:sz w:val="28"/>
          <w:shd w:val="clear" w:color="auto" w:fill="FFFFFF"/>
          <w:rtl/>
          <w:cs/>
        </w:rPr>
        <w:t>خدمات مشمول حمایت به شرح زیر است:</w:t>
      </w:r>
    </w:p>
    <w:p w:rsidR="006F2E50" w:rsidRPr="00EF6377" w:rsidRDefault="006F2E50" w:rsidP="0047022E">
      <w:pPr>
        <w:pStyle w:val="14"/>
        <w:numPr>
          <w:ilvl w:val="0"/>
          <w:numId w:val="8"/>
        </w:numPr>
        <w:rPr>
          <w:rFonts w:ascii="Tahoma" w:hAnsi="Tahoma"/>
          <w:sz w:val="28"/>
          <w:shd w:val="clear" w:color="auto" w:fill="FFFFFF"/>
        </w:rPr>
      </w:pP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حمایت‌های قابل ارائه به </w:t>
      </w:r>
      <w:r w:rsidR="0047022E">
        <w:rPr>
          <w:rFonts w:ascii="Tahoma" w:hAnsi="Tahoma" w:hint="cs"/>
          <w:sz w:val="28"/>
          <w:shd w:val="clear" w:color="auto" w:fill="FFFFFF"/>
          <w:rtl/>
        </w:rPr>
        <w:t>هسته های</w:t>
      </w: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 فناور در حال ثبت و تاسیس شرکت</w:t>
      </w:r>
    </w:p>
    <w:p w:rsidR="006F2E50" w:rsidRDefault="006F2E50" w:rsidP="0047022E">
      <w:pPr>
        <w:pStyle w:val="14"/>
        <w:numPr>
          <w:ilvl w:val="0"/>
          <w:numId w:val="8"/>
        </w:numPr>
        <w:rPr>
          <w:rFonts w:ascii="Tahoma" w:hAnsi="Tahoma"/>
          <w:sz w:val="28"/>
          <w:shd w:val="clear" w:color="auto" w:fill="FFFFFF"/>
        </w:rPr>
      </w:pP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حمایت‌های قابل ارائه به </w:t>
      </w:r>
      <w:r w:rsidR="0047022E">
        <w:rPr>
          <w:rFonts w:ascii="Tahoma" w:hAnsi="Tahoma" w:hint="cs"/>
          <w:sz w:val="28"/>
          <w:shd w:val="clear" w:color="auto" w:fill="FFFFFF"/>
          <w:rtl/>
        </w:rPr>
        <w:t>هسته های</w:t>
      </w: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 مستعد دانش‌بنیان مستقر در پارک‌های علم و فناوری و شهرک‌های صنعتی</w:t>
      </w:r>
    </w:p>
    <w:p w:rsidR="00E676DB" w:rsidRPr="00E676DB" w:rsidRDefault="00E676DB" w:rsidP="00E676DB">
      <w:pPr>
        <w:pStyle w:val="14"/>
        <w:jc w:val="both"/>
        <w:rPr>
          <w:rFonts w:ascii="Tahoma" w:hAnsi="Tahoma"/>
          <w:sz w:val="28"/>
          <w:u w:val="single"/>
          <w:shd w:val="clear" w:color="auto" w:fill="FFFFFF"/>
          <w:rtl/>
        </w:rPr>
      </w:pPr>
      <w:r w:rsidRPr="00E676DB">
        <w:rPr>
          <w:rFonts w:ascii="Tahoma" w:hAnsi="Tahoma" w:hint="cs"/>
          <w:b/>
          <w:bCs/>
          <w:sz w:val="28"/>
          <w:u w:val="single"/>
          <w:shd w:val="clear" w:color="auto" w:fill="FFFFFF"/>
          <w:rtl/>
        </w:rPr>
        <w:t xml:space="preserve">تبصره- </w:t>
      </w:r>
      <w:r w:rsidR="0047022E"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 xml:space="preserve">این حمایت صرفا به هسته های مستعد دانش بنیانی ارائه می شود که شروط سطح فناوری و مرحله تولید در </w:t>
      </w:r>
      <w:r w:rsidRPr="00E676DB">
        <w:rPr>
          <w:rFonts w:ascii="Tahoma" w:hAnsi="Tahoma"/>
          <w:sz w:val="28"/>
          <w:u w:val="single"/>
          <w:shd w:val="clear" w:color="auto" w:fill="FFFFFF"/>
          <w:rtl/>
        </w:rPr>
        <w:t>آ</w:t>
      </w:r>
      <w:r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>یی</w:t>
      </w:r>
      <w:r w:rsidRPr="00E676DB">
        <w:rPr>
          <w:rFonts w:ascii="Tahoma" w:hAnsi="Tahoma" w:hint="eastAsia"/>
          <w:sz w:val="28"/>
          <w:u w:val="single"/>
          <w:shd w:val="clear" w:color="auto" w:fill="FFFFFF"/>
          <w:rtl/>
        </w:rPr>
        <w:t>ن‌نامه</w:t>
      </w:r>
      <w:r w:rsidRPr="00E676DB">
        <w:rPr>
          <w:rFonts w:ascii="Tahoma" w:hAnsi="Tahoma"/>
          <w:sz w:val="28"/>
          <w:u w:val="single"/>
          <w:shd w:val="clear" w:color="auto" w:fill="FFFFFF"/>
          <w:rtl/>
        </w:rPr>
        <w:t xml:space="preserve"> ارز</w:t>
      </w:r>
      <w:r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>ی</w:t>
      </w:r>
      <w:r w:rsidRPr="00E676DB">
        <w:rPr>
          <w:rFonts w:ascii="Tahoma" w:hAnsi="Tahoma" w:hint="eastAsia"/>
          <w:sz w:val="28"/>
          <w:u w:val="single"/>
          <w:shd w:val="clear" w:color="auto" w:fill="FFFFFF"/>
          <w:rtl/>
        </w:rPr>
        <w:t>اب</w:t>
      </w:r>
      <w:r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>ی</w:t>
      </w:r>
      <w:r w:rsidRPr="00E676DB">
        <w:rPr>
          <w:rFonts w:ascii="Tahoma" w:hAnsi="Tahoma"/>
          <w:sz w:val="28"/>
          <w:u w:val="single"/>
          <w:shd w:val="clear" w:color="auto" w:fill="FFFFFF"/>
          <w:rtl/>
        </w:rPr>
        <w:t xml:space="preserve"> شرکت‌ها و موسسات دانش‌بن</w:t>
      </w:r>
      <w:r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>ی</w:t>
      </w:r>
      <w:r w:rsidRPr="00E676DB">
        <w:rPr>
          <w:rFonts w:ascii="Tahoma" w:hAnsi="Tahoma" w:hint="eastAsia"/>
          <w:sz w:val="28"/>
          <w:u w:val="single"/>
          <w:shd w:val="clear" w:color="auto" w:fill="FFFFFF"/>
          <w:rtl/>
        </w:rPr>
        <w:t>ان</w:t>
      </w:r>
      <w:r w:rsidRPr="00E676DB">
        <w:rPr>
          <w:rFonts w:ascii="Tahoma" w:hAnsi="Tahoma"/>
          <w:sz w:val="28"/>
          <w:u w:val="single"/>
          <w:shd w:val="clear" w:color="auto" w:fill="FFFFFF"/>
          <w:rtl/>
        </w:rPr>
        <w:t>(مصوب کارگروه مورخ 02/11/1400)</w:t>
      </w:r>
      <w:r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 xml:space="preserve"> را کسب کرده باشند.</w:t>
      </w:r>
      <w:r>
        <w:rPr>
          <w:rFonts w:ascii="Tahoma" w:hAnsi="Tahoma" w:hint="cs"/>
          <w:sz w:val="28"/>
          <w:u w:val="single"/>
          <w:shd w:val="clear" w:color="auto" w:fill="FFFFFF"/>
          <w:rtl/>
        </w:rPr>
        <w:t xml:space="preserve"> </w:t>
      </w:r>
      <w:r w:rsidRPr="00E676DB">
        <w:rPr>
          <w:rFonts w:ascii="Tahoma" w:hAnsi="Tahoma" w:hint="cs"/>
          <w:sz w:val="28"/>
          <w:u w:val="single"/>
          <w:shd w:val="clear" w:color="auto" w:fill="FFFFFF"/>
          <w:rtl/>
        </w:rPr>
        <w:t>این ارزیابی بعد از معرفی مبادی و ثبت درخواست هسته های مستعد دانش بنیان انجام خواهد شد.</w:t>
      </w:r>
    </w:p>
    <w:p w:rsidR="006F2E50" w:rsidRPr="007D1460" w:rsidRDefault="006F2E50" w:rsidP="006F2E50">
      <w:pPr>
        <w:pStyle w:val="14"/>
        <w:numPr>
          <w:ilvl w:val="0"/>
          <w:numId w:val="7"/>
        </w:numPr>
        <w:rPr>
          <w:sz w:val="28"/>
          <w:rtl/>
          <w:lang w:bidi="fa-IR"/>
        </w:rPr>
      </w:pPr>
      <w:bookmarkStart w:id="2" w:name="_Toc507849888"/>
      <w:r w:rsidRPr="00EF6377">
        <w:rPr>
          <w:rFonts w:hint="cs"/>
          <w:b/>
          <w:bCs/>
          <w:sz w:val="28"/>
          <w:rtl/>
          <w:lang w:bidi="fa-IR"/>
        </w:rPr>
        <w:t>میزان حمایت</w:t>
      </w:r>
      <w:bookmarkEnd w:id="2"/>
    </w:p>
    <w:p w:rsidR="006F2E50" w:rsidRDefault="006F2E50" w:rsidP="002C2403">
      <w:pPr>
        <w:pStyle w:val="14"/>
        <w:ind w:firstLine="0"/>
        <w:rPr>
          <w:rFonts w:ascii="Tahoma" w:hAnsi="Tahoma"/>
          <w:sz w:val="28"/>
          <w:shd w:val="clear" w:color="auto" w:fill="FFFFFF"/>
          <w:rtl/>
          <w:lang w:bidi="fa-IR"/>
        </w:rPr>
      </w:pPr>
      <w:r w:rsidRPr="00EF6377">
        <w:rPr>
          <w:rFonts w:ascii="Tahoma" w:hAnsi="Tahoma" w:hint="cs"/>
          <w:sz w:val="28"/>
          <w:shd w:val="clear" w:color="auto" w:fill="FFFFFF"/>
          <w:rtl/>
        </w:rPr>
        <w:t>حمایت تعریف شده، بسته به سرفصل</w:t>
      </w:r>
      <w:r w:rsidRPr="00EF6377">
        <w:rPr>
          <w:rFonts w:ascii="Tahoma" w:hAnsi="Tahoma"/>
          <w:sz w:val="28"/>
          <w:shd w:val="clear" w:color="auto" w:fill="FFFFFF"/>
          <w:rtl/>
        </w:rPr>
        <w:softHyphen/>
      </w: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های توافق شده مابین </w:t>
      </w:r>
      <w:r>
        <w:rPr>
          <w:rFonts w:ascii="Tahoma" w:hAnsi="Tahoma" w:hint="cs"/>
          <w:sz w:val="28"/>
          <w:shd w:val="clear" w:color="auto" w:fill="FFFFFF"/>
          <w:rtl/>
        </w:rPr>
        <w:t>تیم‌ها</w:t>
      </w: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 و کارگزار در سه سبد ارائه می‌گردد</w:t>
      </w:r>
      <w:r w:rsidRPr="00EF6377">
        <w:rPr>
          <w:rFonts w:ascii="Tahoma" w:hAnsi="Tahoma"/>
          <w:sz w:val="28"/>
          <w:shd w:val="clear" w:color="auto" w:fill="FFFFFF"/>
        </w:rPr>
        <w:t>.</w:t>
      </w:r>
      <w:r w:rsidRPr="00EF6377">
        <w:rPr>
          <w:rFonts w:ascii="Tahoma" w:hAnsi="Tahoma" w:hint="cs"/>
          <w:sz w:val="28"/>
          <w:shd w:val="clear" w:color="auto" w:fill="FFFFFF"/>
          <w:rtl/>
        </w:rPr>
        <w:t xml:space="preserve"> میزان  </w:t>
      </w:r>
      <w:r w:rsidRPr="00EC6FF2">
        <w:rPr>
          <w:rFonts w:ascii="Tahoma" w:hAnsi="Tahoma" w:hint="eastAsia"/>
          <w:sz w:val="28"/>
          <w:shd w:val="clear" w:color="auto" w:fill="FFFFFF"/>
          <w:rtl/>
        </w:rPr>
        <w:t>حما</w:t>
      </w:r>
      <w:r w:rsidRPr="00EC6FF2">
        <w:rPr>
          <w:rFonts w:ascii="Tahoma" w:hAnsi="Tahoma" w:hint="cs"/>
          <w:sz w:val="28"/>
          <w:shd w:val="clear" w:color="auto" w:fill="FFFFFF"/>
          <w:rtl/>
        </w:rPr>
        <w:t>ی</w:t>
      </w:r>
      <w:r w:rsidRPr="00EC6FF2">
        <w:rPr>
          <w:rFonts w:ascii="Tahoma" w:hAnsi="Tahoma" w:hint="eastAsia"/>
          <w:sz w:val="28"/>
          <w:shd w:val="clear" w:color="auto" w:fill="FFFFFF"/>
          <w:rtl/>
        </w:rPr>
        <w:t>ت‌ها</w:t>
      </w:r>
      <w:r w:rsidRPr="00EC6FF2">
        <w:rPr>
          <w:rFonts w:ascii="Tahoma" w:hAnsi="Tahoma" w:hint="cs"/>
          <w:sz w:val="28"/>
          <w:shd w:val="clear" w:color="auto" w:fill="FFFFFF"/>
          <w:rtl/>
        </w:rPr>
        <w:t>ی</w:t>
      </w:r>
      <w:r w:rsidRPr="00EC6FF2">
        <w:rPr>
          <w:rFonts w:ascii="Tahoma" w:hAnsi="Tahoma"/>
          <w:sz w:val="28"/>
          <w:shd w:val="clear" w:color="auto" w:fill="FFFFFF"/>
          <w:rtl/>
        </w:rPr>
        <w:t xml:space="preserve"> </w:t>
      </w:r>
      <w:r>
        <w:rPr>
          <w:rFonts w:ascii="Tahoma" w:hAnsi="Tahoma" w:hint="cs"/>
          <w:sz w:val="28"/>
          <w:shd w:val="clear" w:color="auto" w:fill="FFFFFF"/>
          <w:rtl/>
        </w:rPr>
        <w:t xml:space="preserve">مالی این شیوه‌نامه و الزامات دریافت آن در </w:t>
      </w:r>
      <w:r w:rsidR="002C2403">
        <w:rPr>
          <w:rFonts w:ascii="Tahoma" w:hAnsi="Tahoma" w:hint="cs"/>
          <w:sz w:val="28"/>
          <w:shd w:val="clear" w:color="auto" w:fill="FFFFFF"/>
          <w:rtl/>
        </w:rPr>
        <w:t>جدول</w:t>
      </w:r>
      <w:r>
        <w:rPr>
          <w:rFonts w:ascii="Tahoma" w:hAnsi="Tahoma" w:hint="cs"/>
          <w:sz w:val="28"/>
          <w:shd w:val="clear" w:color="auto" w:fill="FFFFFF"/>
          <w:rtl/>
        </w:rPr>
        <w:t xml:space="preserve"> زیر قابل مشاهده است:</w:t>
      </w:r>
      <w:r>
        <w:rPr>
          <w:rFonts w:ascii="Tahoma" w:hAnsi="Tahoma" w:hint="cs"/>
          <w:sz w:val="28"/>
          <w:shd w:val="clear" w:color="auto" w:fill="FFFFFF"/>
          <w:rtl/>
          <w:lang w:bidi="fa-IR"/>
        </w:rPr>
        <w:t xml:space="preserve"> </w:t>
      </w:r>
    </w:p>
    <w:p w:rsidR="006F2E50" w:rsidRDefault="006F2E50" w:rsidP="006F2E50">
      <w:pPr>
        <w:spacing w:line="0" w:lineRule="atLeast"/>
        <w:jc w:val="both"/>
        <w:rPr>
          <w:rFonts w:ascii="Tahoma" w:hAnsi="Tahoma"/>
          <w:sz w:val="28"/>
          <w:shd w:val="clear" w:color="auto" w:fill="FFFFFF"/>
          <w:rtl/>
          <w:lang w:bidi="fa-IR"/>
        </w:rPr>
      </w:pPr>
    </w:p>
    <w:p w:rsidR="006F2E50" w:rsidRDefault="006F2E50" w:rsidP="006F2E50">
      <w:pPr>
        <w:spacing w:after="120" w:line="0" w:lineRule="atLeast"/>
        <w:jc w:val="center"/>
        <w:rPr>
          <w:szCs w:val="24"/>
          <w:rtl/>
        </w:rPr>
      </w:pPr>
      <w:r w:rsidRPr="00C67A3E">
        <w:rPr>
          <w:rFonts w:hint="cs"/>
          <w:szCs w:val="24"/>
          <w:rtl/>
        </w:rPr>
        <w:t>جدول شماره1-</w:t>
      </w:r>
      <w:r>
        <w:rPr>
          <w:rFonts w:hint="cs"/>
          <w:szCs w:val="24"/>
          <w:rtl/>
        </w:rPr>
        <w:t xml:space="preserve"> </w:t>
      </w:r>
      <w:r w:rsidRPr="00C67A3E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بسته</w:t>
      </w:r>
      <w:r w:rsidRPr="00C67A3E">
        <w:rPr>
          <w:rFonts w:hint="cs"/>
          <w:szCs w:val="24"/>
          <w:rtl/>
        </w:rPr>
        <w:t xml:space="preserve"> خدمات قابل ارائه به تیم‌های فناور</w:t>
      </w:r>
    </w:p>
    <w:tbl>
      <w:tblPr>
        <w:tblStyle w:val="TableGrid"/>
        <w:bidiVisual/>
        <w:tblW w:w="9514" w:type="dxa"/>
        <w:jc w:val="center"/>
        <w:tblLook w:val="04A0" w:firstRow="1" w:lastRow="0" w:firstColumn="1" w:lastColumn="0" w:noHBand="0" w:noVBand="1"/>
      </w:tblPr>
      <w:tblGrid>
        <w:gridCol w:w="671"/>
        <w:gridCol w:w="2826"/>
        <w:gridCol w:w="1980"/>
        <w:gridCol w:w="1350"/>
        <w:gridCol w:w="2687"/>
      </w:tblGrid>
      <w:tr w:rsidR="005A0227" w:rsidRPr="006F2E50" w:rsidTr="005A0227">
        <w:trPr>
          <w:trHeight w:val="20"/>
          <w:jc w:val="center"/>
        </w:trPr>
        <w:tc>
          <w:tcPr>
            <w:tcW w:w="671" w:type="dxa"/>
            <w:noWrap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F2E50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ردیف</w:t>
            </w:r>
          </w:p>
        </w:tc>
        <w:tc>
          <w:tcPr>
            <w:tcW w:w="2826" w:type="dxa"/>
            <w:noWrap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F2E50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عنوان خدمت</w:t>
            </w:r>
          </w:p>
        </w:tc>
        <w:tc>
          <w:tcPr>
            <w:tcW w:w="1980" w:type="dxa"/>
            <w:noWrap/>
            <w:vAlign w:val="center"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b/>
                <w:bCs/>
                <w:color w:val="000000"/>
                <w:szCs w:val="24"/>
              </w:rPr>
            </w:pPr>
            <w:r w:rsidRPr="006F2E50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سقف حمایت (ریال)</w:t>
            </w:r>
          </w:p>
        </w:tc>
        <w:tc>
          <w:tcPr>
            <w:tcW w:w="1350" w:type="dxa"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6F2E50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درصد حمایت</w:t>
            </w:r>
          </w:p>
        </w:tc>
        <w:tc>
          <w:tcPr>
            <w:tcW w:w="2687" w:type="dxa"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b/>
                <w:bCs/>
                <w:color w:val="000000"/>
                <w:szCs w:val="24"/>
                <w:rtl/>
              </w:rPr>
            </w:pPr>
            <w:r w:rsidRPr="006F2E50">
              <w:rPr>
                <w:rFonts w:ascii="Calibri" w:hAnsi="Calibri" w:hint="cs"/>
                <w:b/>
                <w:bCs/>
                <w:color w:val="000000"/>
                <w:szCs w:val="24"/>
                <w:rtl/>
              </w:rPr>
              <w:t>مستندات خروجی</w:t>
            </w:r>
          </w:p>
        </w:tc>
      </w:tr>
      <w:tr w:rsidR="006F2E50" w:rsidRPr="006F2E50" w:rsidTr="005A0227">
        <w:trPr>
          <w:trHeight w:val="20"/>
          <w:jc w:val="center"/>
        </w:trPr>
        <w:tc>
          <w:tcPr>
            <w:tcW w:w="671" w:type="dxa"/>
            <w:noWrap/>
            <w:vAlign w:val="center"/>
            <w:hideMark/>
          </w:tcPr>
          <w:p w:rsidR="006F2E50" w:rsidRPr="006F2E50" w:rsidRDefault="006F2E50" w:rsidP="006F2E50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</w:rPr>
              <w:t>1</w:t>
            </w:r>
          </w:p>
        </w:tc>
        <w:tc>
          <w:tcPr>
            <w:tcW w:w="2826" w:type="dxa"/>
            <w:noWrap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szCs w:val="24"/>
              </w:rPr>
            </w:pPr>
            <w:r w:rsidRPr="006F2E50">
              <w:rPr>
                <w:rFonts w:ascii="Calibri" w:hAnsi="Calibri"/>
                <w:szCs w:val="24"/>
                <w:rtl/>
              </w:rPr>
              <w:t>مدل کسب و کار</w:t>
            </w:r>
          </w:p>
        </w:tc>
        <w:tc>
          <w:tcPr>
            <w:tcW w:w="1980" w:type="dxa"/>
            <w:vMerge w:val="restart"/>
            <w:vAlign w:val="center"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szCs w:val="24"/>
                <w:rtl/>
              </w:rPr>
            </w:pPr>
            <w:r w:rsidRPr="006F2E50">
              <w:rPr>
                <w:rFonts w:ascii="Calibri" w:hAnsi="Calibri" w:hint="cs"/>
                <w:szCs w:val="24"/>
                <w:rtl/>
              </w:rPr>
              <w:t>80.000.000 ریال</w:t>
            </w:r>
          </w:p>
        </w:tc>
        <w:tc>
          <w:tcPr>
            <w:tcW w:w="1350" w:type="dxa"/>
            <w:vMerge w:val="restart"/>
            <w:vAlign w:val="center"/>
          </w:tcPr>
          <w:p w:rsidR="006F2E50" w:rsidRPr="006F2E50" w:rsidRDefault="006F2E50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6F2E50">
              <w:rPr>
                <w:rFonts w:ascii="Calibri" w:hAnsi="Calibri" w:hint="cs"/>
                <w:color w:val="000000"/>
                <w:szCs w:val="24"/>
                <w:rtl/>
              </w:rPr>
              <w:t>80%</w:t>
            </w:r>
          </w:p>
        </w:tc>
        <w:tc>
          <w:tcPr>
            <w:tcW w:w="2687" w:type="dxa"/>
            <w:vAlign w:val="center"/>
          </w:tcPr>
          <w:p w:rsidR="006F2E50" w:rsidRPr="006F2E50" w:rsidRDefault="006F2E50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szCs w:val="24"/>
                <w:rtl/>
              </w:rPr>
            </w:pPr>
            <w:r w:rsidRPr="006F2E50">
              <w:rPr>
                <w:rFonts w:ascii="Calibri" w:hAnsi="Calibri"/>
                <w:szCs w:val="24"/>
                <w:rtl/>
              </w:rPr>
              <w:t>تدو</w:t>
            </w:r>
            <w:r w:rsidRPr="006F2E50">
              <w:rPr>
                <w:rFonts w:ascii="Calibri" w:hAnsi="Calibri" w:hint="cs"/>
                <w:szCs w:val="24"/>
                <w:rtl/>
              </w:rPr>
              <w:t>ی</w:t>
            </w:r>
            <w:r w:rsidRPr="006F2E50">
              <w:rPr>
                <w:rFonts w:ascii="Calibri" w:hAnsi="Calibri" w:hint="eastAsia"/>
                <w:szCs w:val="24"/>
                <w:rtl/>
              </w:rPr>
              <w:t>ن</w:t>
            </w:r>
            <w:r w:rsidRPr="006F2E50">
              <w:rPr>
                <w:rFonts w:ascii="Calibri" w:hAnsi="Calibri"/>
                <w:szCs w:val="24"/>
                <w:rtl/>
              </w:rPr>
              <w:t xml:space="preserve"> مدل کسب و کار</w:t>
            </w:r>
          </w:p>
        </w:tc>
      </w:tr>
      <w:tr w:rsidR="006F2E50" w:rsidRPr="006F2E50" w:rsidTr="005A0227">
        <w:trPr>
          <w:trHeight w:val="20"/>
          <w:jc w:val="center"/>
        </w:trPr>
        <w:tc>
          <w:tcPr>
            <w:tcW w:w="671" w:type="dxa"/>
            <w:noWrap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</w:rPr>
              <w:t>2</w:t>
            </w:r>
          </w:p>
        </w:tc>
        <w:tc>
          <w:tcPr>
            <w:tcW w:w="2826" w:type="dxa"/>
            <w:noWrap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szCs w:val="24"/>
              </w:rPr>
            </w:pPr>
            <w:r w:rsidRPr="006F2E50">
              <w:rPr>
                <w:rFonts w:ascii="Calibri" w:hAnsi="Calibri"/>
                <w:szCs w:val="24"/>
                <w:rtl/>
              </w:rPr>
              <w:t>مطالعه فرصت و</w:t>
            </w:r>
            <w:r w:rsidR="0047022E">
              <w:rPr>
                <w:rFonts w:ascii="Calibri" w:hAnsi="Calibri" w:hint="cs"/>
                <w:szCs w:val="24"/>
                <w:rtl/>
              </w:rPr>
              <w:t xml:space="preserve"> تعیین</w:t>
            </w:r>
            <w:r w:rsidRPr="006F2E50">
              <w:rPr>
                <w:rFonts w:ascii="Calibri" w:hAnsi="Calibri"/>
                <w:szCs w:val="24"/>
                <w:rtl/>
              </w:rPr>
              <w:t xml:space="preserve"> ظرف</w:t>
            </w:r>
            <w:r w:rsidRPr="006F2E50">
              <w:rPr>
                <w:rFonts w:ascii="Calibri" w:hAnsi="Calibri" w:hint="cs"/>
                <w:szCs w:val="24"/>
                <w:rtl/>
              </w:rPr>
              <w:t>ی</w:t>
            </w:r>
            <w:r w:rsidRPr="006F2E50">
              <w:rPr>
                <w:rFonts w:ascii="Calibri" w:hAnsi="Calibri" w:hint="eastAsia"/>
                <w:szCs w:val="24"/>
                <w:rtl/>
              </w:rPr>
              <w:t>ت</w:t>
            </w:r>
            <w:r w:rsidRPr="006F2E50">
              <w:rPr>
                <w:rFonts w:ascii="Calibri" w:hAnsi="Calibri"/>
                <w:szCs w:val="24"/>
                <w:rtl/>
              </w:rPr>
              <w:t xml:space="preserve"> ها</w:t>
            </w:r>
            <w:r w:rsidRPr="006F2E50">
              <w:rPr>
                <w:rFonts w:ascii="Calibri" w:hAnsi="Calibri" w:hint="cs"/>
                <w:szCs w:val="24"/>
                <w:rtl/>
              </w:rPr>
              <w:t>ی</w:t>
            </w:r>
            <w:r w:rsidRPr="006F2E50">
              <w:rPr>
                <w:rFonts w:ascii="Calibri" w:hAnsi="Calibri"/>
                <w:szCs w:val="24"/>
                <w:rtl/>
              </w:rPr>
              <w:t xml:space="preserve"> بازار</w:t>
            </w:r>
          </w:p>
        </w:tc>
        <w:tc>
          <w:tcPr>
            <w:tcW w:w="1980" w:type="dxa"/>
            <w:vMerge/>
            <w:vAlign w:val="center"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szCs w:val="24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6F2E50" w:rsidRPr="006F2E50" w:rsidRDefault="006F2E50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:rsidR="006F2E50" w:rsidRPr="006F2E50" w:rsidRDefault="006F2E50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szCs w:val="24"/>
                <w:rtl/>
              </w:rPr>
            </w:pPr>
            <w:r w:rsidRPr="006F2E50">
              <w:rPr>
                <w:rFonts w:ascii="Calibri" w:hAnsi="Calibri"/>
                <w:szCs w:val="24"/>
                <w:rtl/>
              </w:rPr>
              <w:t>ته</w:t>
            </w:r>
            <w:r w:rsidRPr="006F2E50">
              <w:rPr>
                <w:rFonts w:ascii="Calibri" w:hAnsi="Calibri" w:hint="cs"/>
                <w:szCs w:val="24"/>
                <w:rtl/>
              </w:rPr>
              <w:t>ی</w:t>
            </w:r>
            <w:r w:rsidRPr="006F2E50">
              <w:rPr>
                <w:rFonts w:ascii="Calibri" w:hAnsi="Calibri" w:hint="eastAsia"/>
                <w:szCs w:val="24"/>
                <w:rtl/>
              </w:rPr>
              <w:t>ه</w:t>
            </w:r>
            <w:r w:rsidRPr="006F2E50">
              <w:rPr>
                <w:rFonts w:ascii="Calibri" w:hAnsi="Calibri"/>
                <w:szCs w:val="24"/>
                <w:rtl/>
              </w:rPr>
              <w:t xml:space="preserve"> گزارش مطالعه فرصت و ظرف</w:t>
            </w:r>
            <w:r w:rsidRPr="006F2E50">
              <w:rPr>
                <w:rFonts w:ascii="Calibri" w:hAnsi="Calibri" w:hint="cs"/>
                <w:szCs w:val="24"/>
                <w:rtl/>
              </w:rPr>
              <w:t>ی</w:t>
            </w:r>
            <w:r w:rsidRPr="006F2E50">
              <w:rPr>
                <w:rFonts w:ascii="Calibri" w:hAnsi="Calibri" w:hint="eastAsia"/>
                <w:szCs w:val="24"/>
                <w:rtl/>
              </w:rPr>
              <w:t>ت</w:t>
            </w:r>
            <w:r w:rsidRPr="006F2E50">
              <w:rPr>
                <w:rFonts w:ascii="Calibri" w:hAnsi="Calibri"/>
                <w:szCs w:val="24"/>
                <w:rtl/>
              </w:rPr>
              <w:t xml:space="preserve"> ها</w:t>
            </w:r>
            <w:r w:rsidRPr="006F2E50">
              <w:rPr>
                <w:rFonts w:ascii="Calibri" w:hAnsi="Calibri" w:hint="cs"/>
                <w:szCs w:val="24"/>
                <w:rtl/>
              </w:rPr>
              <w:t>ی</w:t>
            </w:r>
            <w:r w:rsidRPr="006F2E50">
              <w:rPr>
                <w:rFonts w:ascii="Calibri" w:hAnsi="Calibri"/>
                <w:szCs w:val="24"/>
                <w:rtl/>
              </w:rPr>
              <w:t xml:space="preserve"> بازار</w:t>
            </w:r>
          </w:p>
        </w:tc>
      </w:tr>
      <w:tr w:rsidR="006F2E50" w:rsidRPr="006F2E50" w:rsidTr="005A0227">
        <w:trPr>
          <w:trHeight w:val="20"/>
          <w:jc w:val="center"/>
        </w:trPr>
        <w:tc>
          <w:tcPr>
            <w:tcW w:w="671" w:type="dxa"/>
            <w:noWrap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</w:rPr>
              <w:t>3</w:t>
            </w:r>
          </w:p>
        </w:tc>
        <w:tc>
          <w:tcPr>
            <w:tcW w:w="2826" w:type="dxa"/>
            <w:noWrap/>
            <w:vAlign w:val="center"/>
            <w:hideMark/>
          </w:tcPr>
          <w:p w:rsidR="006F2E50" w:rsidRPr="006F2E50" w:rsidRDefault="0047022E" w:rsidP="0047022E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</w:rPr>
              <w:t xml:space="preserve">امور </w:t>
            </w:r>
            <w:r w:rsidR="006F2E50" w:rsidRPr="006F2E50">
              <w:rPr>
                <w:rFonts w:ascii="Calibri" w:hAnsi="Calibri" w:hint="cs"/>
                <w:color w:val="000000"/>
                <w:szCs w:val="24"/>
                <w:rtl/>
              </w:rPr>
              <w:t>ثبت</w:t>
            </w:r>
            <w:r>
              <w:rPr>
                <w:rFonts w:ascii="Calibri" w:hAnsi="Calibri" w:hint="cs"/>
                <w:color w:val="000000"/>
                <w:szCs w:val="24"/>
                <w:rtl/>
              </w:rPr>
              <w:t>ی شرکت</w:t>
            </w:r>
          </w:p>
        </w:tc>
        <w:tc>
          <w:tcPr>
            <w:tcW w:w="1980" w:type="dxa"/>
            <w:vMerge/>
            <w:vAlign w:val="center"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:rsidR="006F2E50" w:rsidRPr="006F2E50" w:rsidRDefault="006F2E50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:rsidR="006F2E50" w:rsidRPr="006F2E50" w:rsidRDefault="0047022E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47022E">
              <w:rPr>
                <w:rFonts w:ascii="Calibri" w:hAnsi="Calibri"/>
                <w:color w:val="000000"/>
                <w:szCs w:val="24"/>
                <w:rtl/>
              </w:rPr>
              <w:t>آگه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تاس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س،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اساسنامه، تشک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ل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پرونده مال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ات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،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تشک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ل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پرونده ب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مه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تام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 w:hint="eastAsia"/>
                <w:color w:val="000000"/>
                <w:szCs w:val="24"/>
                <w:rtl/>
              </w:rPr>
              <w:t>ن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اجتماع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  <w:r w:rsidRPr="0047022E">
              <w:rPr>
                <w:rFonts w:ascii="Calibri" w:hAnsi="Calibri"/>
                <w:color w:val="000000"/>
                <w:szCs w:val="24"/>
                <w:rtl/>
              </w:rPr>
              <w:t xml:space="preserve"> و اخذ کد کارگاه</w:t>
            </w:r>
            <w:r w:rsidRPr="0047022E">
              <w:rPr>
                <w:rFonts w:ascii="Calibri" w:hAnsi="Calibri" w:hint="cs"/>
                <w:color w:val="000000"/>
                <w:szCs w:val="24"/>
                <w:rtl/>
              </w:rPr>
              <w:t>ی</w:t>
            </w:r>
          </w:p>
        </w:tc>
      </w:tr>
      <w:tr w:rsidR="006F2E50" w:rsidRPr="006F2E50" w:rsidTr="005A0227">
        <w:trPr>
          <w:trHeight w:val="20"/>
          <w:jc w:val="center"/>
        </w:trPr>
        <w:tc>
          <w:tcPr>
            <w:tcW w:w="671" w:type="dxa"/>
            <w:noWrap/>
            <w:vAlign w:val="center"/>
          </w:tcPr>
          <w:p w:rsidR="006F2E50" w:rsidRPr="006F2E50" w:rsidRDefault="0047022E" w:rsidP="005E7423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 w:hint="cs"/>
                <w:color w:val="000000"/>
                <w:szCs w:val="24"/>
                <w:rtl/>
              </w:rPr>
              <w:t>4</w:t>
            </w:r>
          </w:p>
        </w:tc>
        <w:tc>
          <w:tcPr>
            <w:tcW w:w="2826" w:type="dxa"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6F2E50">
              <w:rPr>
                <w:rFonts w:ascii="Calibri" w:hAnsi="Calibri" w:hint="cs"/>
                <w:color w:val="000000"/>
                <w:szCs w:val="24"/>
                <w:rtl/>
              </w:rPr>
              <w:t>ثبت علامت تجاری داخلی</w:t>
            </w:r>
          </w:p>
        </w:tc>
        <w:tc>
          <w:tcPr>
            <w:tcW w:w="1980" w:type="dxa"/>
            <w:vMerge/>
            <w:vAlign w:val="center"/>
            <w:hideMark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0" w:type="dxa"/>
            <w:vMerge/>
          </w:tcPr>
          <w:p w:rsidR="006F2E50" w:rsidRPr="006F2E50" w:rsidRDefault="006F2E50" w:rsidP="005E7423">
            <w:pPr>
              <w:spacing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</w:p>
        </w:tc>
        <w:tc>
          <w:tcPr>
            <w:tcW w:w="2687" w:type="dxa"/>
            <w:vAlign w:val="center"/>
          </w:tcPr>
          <w:p w:rsidR="006F2E50" w:rsidRPr="006F2E50" w:rsidRDefault="006F2E50" w:rsidP="005E7423">
            <w:pPr>
              <w:spacing w:after="100" w:afterAutospacing="1" w:line="0" w:lineRule="atLeast"/>
              <w:jc w:val="center"/>
              <w:rPr>
                <w:rFonts w:ascii="Calibri" w:hAnsi="Calibri"/>
                <w:color w:val="000000"/>
                <w:szCs w:val="24"/>
                <w:rtl/>
              </w:rPr>
            </w:pPr>
            <w:r w:rsidRPr="006F2E50">
              <w:rPr>
                <w:rFonts w:ascii="Calibri" w:hAnsi="Calibri" w:hint="cs"/>
                <w:color w:val="000000"/>
                <w:szCs w:val="24"/>
                <w:rtl/>
              </w:rPr>
              <w:t>آگهی نهایی ثبت علامت تجاری، روزنامه رسمی ثبت علامت تجاری</w:t>
            </w:r>
          </w:p>
        </w:tc>
      </w:tr>
    </w:tbl>
    <w:p w:rsidR="006F2E50" w:rsidRPr="0026188C" w:rsidRDefault="006F2E50" w:rsidP="006F2E50">
      <w:pPr>
        <w:pStyle w:val="NormalWeb"/>
        <w:shd w:val="clear" w:color="auto" w:fill="FFFFFF"/>
        <w:bidi/>
        <w:spacing w:before="240" w:beforeAutospacing="0" w:after="0" w:afterAutospacing="0" w:line="0" w:lineRule="atLeast"/>
        <w:jc w:val="both"/>
        <w:rPr>
          <w:rFonts w:cs="B Mitra"/>
          <w:b/>
          <w:bCs/>
          <w:sz w:val="28"/>
          <w:szCs w:val="28"/>
          <w:rtl/>
          <w:lang w:bidi="ar-SA"/>
        </w:rPr>
      </w:pPr>
      <w:r w:rsidRPr="0026188C">
        <w:rPr>
          <w:rFonts w:cs="B Mitra" w:hint="eastAsia"/>
          <w:b/>
          <w:bCs/>
          <w:sz w:val="28"/>
          <w:szCs w:val="28"/>
          <w:rtl/>
          <w:lang w:bidi="ar-SA"/>
        </w:rPr>
        <w:t>ماده</w:t>
      </w:r>
      <w:r w:rsidRPr="0026188C">
        <w:rPr>
          <w:rFonts w:cs="B Mitra"/>
          <w:b/>
          <w:bCs/>
          <w:sz w:val="28"/>
          <w:szCs w:val="28"/>
          <w:rtl/>
          <w:lang w:bidi="ar-SA"/>
        </w:rPr>
        <w:t xml:space="preserve"> 3: </w:t>
      </w:r>
      <w:r w:rsidRPr="0026188C">
        <w:rPr>
          <w:rFonts w:cs="B Mitra" w:hint="eastAsia"/>
          <w:b/>
          <w:bCs/>
          <w:sz w:val="28"/>
          <w:szCs w:val="28"/>
          <w:rtl/>
          <w:lang w:bidi="ar-SA"/>
        </w:rPr>
        <w:t>شرا</w:t>
      </w:r>
      <w:r w:rsidRPr="0026188C">
        <w:rPr>
          <w:rFonts w:cs="B Mitra" w:hint="cs"/>
          <w:b/>
          <w:bCs/>
          <w:sz w:val="28"/>
          <w:szCs w:val="28"/>
          <w:rtl/>
          <w:lang w:bidi="ar-SA"/>
        </w:rPr>
        <w:t>ی</w:t>
      </w:r>
      <w:r w:rsidRPr="0026188C">
        <w:rPr>
          <w:rFonts w:cs="B Mitra" w:hint="eastAsia"/>
          <w:b/>
          <w:bCs/>
          <w:sz w:val="28"/>
          <w:szCs w:val="28"/>
          <w:rtl/>
          <w:lang w:bidi="ar-SA"/>
        </w:rPr>
        <w:t>ط</w:t>
      </w:r>
      <w:r w:rsidRPr="0026188C">
        <w:rPr>
          <w:rFonts w:cs="B Mitra"/>
          <w:b/>
          <w:bCs/>
          <w:sz w:val="28"/>
          <w:szCs w:val="28"/>
          <w:rtl/>
          <w:lang w:bidi="ar-SA"/>
        </w:rPr>
        <w:t xml:space="preserve"> </w:t>
      </w:r>
      <w:r>
        <w:rPr>
          <w:rFonts w:cs="B Mitra" w:hint="cs"/>
          <w:b/>
          <w:bCs/>
          <w:sz w:val="28"/>
          <w:szCs w:val="28"/>
          <w:rtl/>
          <w:lang w:bidi="ar-SA"/>
        </w:rPr>
        <w:t>دریافت</w:t>
      </w:r>
      <w:r w:rsidRPr="0026188C">
        <w:rPr>
          <w:rFonts w:cs="B Mitra"/>
          <w:b/>
          <w:bCs/>
          <w:sz w:val="28"/>
          <w:szCs w:val="28"/>
          <w:rtl/>
          <w:lang w:bidi="ar-SA"/>
        </w:rPr>
        <w:t xml:space="preserve"> </w:t>
      </w:r>
      <w:r w:rsidRPr="0026188C">
        <w:rPr>
          <w:rFonts w:cs="B Mitra" w:hint="eastAsia"/>
          <w:b/>
          <w:bCs/>
          <w:sz w:val="28"/>
          <w:szCs w:val="28"/>
          <w:rtl/>
          <w:lang w:bidi="ar-SA"/>
        </w:rPr>
        <w:t>حما</w:t>
      </w:r>
      <w:r w:rsidRPr="0026188C">
        <w:rPr>
          <w:rFonts w:cs="B Mitra" w:hint="cs"/>
          <w:b/>
          <w:bCs/>
          <w:sz w:val="28"/>
          <w:szCs w:val="28"/>
          <w:rtl/>
          <w:lang w:bidi="ar-SA"/>
        </w:rPr>
        <w:t>ی</w:t>
      </w:r>
      <w:r w:rsidRPr="0026188C">
        <w:rPr>
          <w:rFonts w:cs="B Mitra" w:hint="eastAsia"/>
          <w:b/>
          <w:bCs/>
          <w:sz w:val="28"/>
          <w:szCs w:val="28"/>
          <w:rtl/>
          <w:lang w:bidi="ar-SA"/>
        </w:rPr>
        <w:t>ت</w:t>
      </w:r>
    </w:p>
    <w:p w:rsidR="006F2E50" w:rsidRPr="005A0227" w:rsidRDefault="006F2E50" w:rsidP="006F2E50">
      <w:pPr>
        <w:pStyle w:val="NormalWeb"/>
        <w:shd w:val="clear" w:color="auto" w:fill="FFFFFF"/>
        <w:bidi/>
        <w:spacing w:before="0" w:beforeAutospacing="0" w:after="0" w:afterAutospacing="0" w:line="0" w:lineRule="atLeast"/>
        <w:jc w:val="both"/>
        <w:rPr>
          <w:rFonts w:cs="B Nazanin"/>
          <w:sz w:val="28"/>
          <w:szCs w:val="28"/>
          <w:rtl/>
          <w:lang w:bidi="ar-SA"/>
        </w:rPr>
      </w:pPr>
      <w:r w:rsidRPr="005A0227">
        <w:rPr>
          <w:rFonts w:cs="B Nazanin" w:hint="cs"/>
          <w:sz w:val="28"/>
          <w:szCs w:val="28"/>
          <w:rtl/>
          <w:lang w:bidi="ar-SA"/>
        </w:rPr>
        <w:t xml:space="preserve">متقاضی باید درخواست خود را در سامانه </w:t>
      </w:r>
      <w:hyperlink r:id="rId10" w:history="1">
        <w:r w:rsidRPr="005A0227">
          <w:rPr>
            <w:sz w:val="28"/>
            <w:szCs w:val="28"/>
            <w:lang w:bidi="ar-SA"/>
          </w:rPr>
          <w:t>es.daneshbonyan.ir</w:t>
        </w:r>
      </w:hyperlink>
      <w:r w:rsidRPr="005A0227">
        <w:rPr>
          <w:rFonts w:cs="B Nazanin" w:hint="cs"/>
          <w:sz w:val="28"/>
          <w:szCs w:val="28"/>
          <w:rtl/>
          <w:lang w:bidi="ar-SA"/>
        </w:rPr>
        <w:t xml:space="preserve"> ثبت نماید.</w:t>
      </w:r>
      <w:r w:rsidRPr="005A0227">
        <w:rPr>
          <w:rFonts w:cs="B Nazanin"/>
          <w:sz w:val="28"/>
          <w:szCs w:val="28"/>
          <w:rtl/>
          <w:lang w:bidi="ar-SA"/>
        </w:rPr>
        <w:t xml:space="preserve"> </w:t>
      </w:r>
      <w:r w:rsidRPr="005A0227">
        <w:rPr>
          <w:rFonts w:cs="B Nazanin" w:hint="cs"/>
          <w:sz w:val="28"/>
          <w:szCs w:val="28"/>
          <w:rtl/>
          <w:lang w:bidi="ar-SA"/>
        </w:rPr>
        <w:t>مستندات مورد نیاز برای اخذ این حمایت به شرح زیر است: فاکتور و مستندات پرداختی، نتایج مکتوب خروجی هر خدمت مطابق جداول بالا.</w:t>
      </w:r>
    </w:p>
    <w:p w:rsidR="006F2E50" w:rsidRPr="00EF6377" w:rsidRDefault="006F2E50" w:rsidP="006F2E50">
      <w:pPr>
        <w:numPr>
          <w:ilvl w:val="0"/>
          <w:numId w:val="7"/>
        </w:numPr>
        <w:spacing w:after="240" w:line="0" w:lineRule="atLeast"/>
        <w:jc w:val="both"/>
        <w:rPr>
          <w:sz w:val="28"/>
        </w:rPr>
      </w:pPr>
      <w:bookmarkStart w:id="3" w:name="_Toc507849889"/>
      <w:r w:rsidRPr="00EF6377">
        <w:rPr>
          <w:rFonts w:hint="cs"/>
          <w:b/>
          <w:bCs/>
          <w:sz w:val="28"/>
          <w:rtl/>
          <w:lang w:bidi="fa-IR"/>
        </w:rPr>
        <w:t>شرایط دریافت حمایت</w:t>
      </w:r>
      <w:bookmarkEnd w:id="3"/>
    </w:p>
    <w:p w:rsidR="005A0227" w:rsidRDefault="006F2E50" w:rsidP="0047022E">
      <w:pPr>
        <w:pStyle w:val="NormalWeb"/>
        <w:shd w:val="clear" w:color="auto" w:fill="FFFFFF"/>
        <w:bidi/>
        <w:spacing w:before="0" w:beforeAutospacing="0" w:after="0" w:afterAutospacing="0" w:line="0" w:lineRule="atLeast"/>
        <w:jc w:val="both"/>
        <w:rPr>
          <w:rFonts w:cs="B Nazanin"/>
          <w:sz w:val="28"/>
          <w:szCs w:val="28"/>
          <w:rtl/>
          <w:lang w:bidi="ar-SA"/>
        </w:rPr>
      </w:pPr>
      <w:r w:rsidRPr="00EF6377">
        <w:rPr>
          <w:rFonts w:cs="B Nazanin" w:hint="cs"/>
          <w:sz w:val="28"/>
          <w:szCs w:val="28"/>
          <w:rtl/>
          <w:lang w:bidi="ar-SA"/>
        </w:rPr>
        <w:t xml:space="preserve">پس از تسویه حساب با کارگزار، </w:t>
      </w:r>
      <w:r w:rsidR="0047022E">
        <w:rPr>
          <w:rFonts w:cs="B Nazanin" w:hint="cs"/>
          <w:sz w:val="28"/>
          <w:szCs w:val="28"/>
          <w:rtl/>
          <w:lang w:bidi="ar-SA"/>
        </w:rPr>
        <w:t>هسته</w:t>
      </w:r>
      <w:r w:rsidRPr="00EF6377">
        <w:rPr>
          <w:rFonts w:cs="B Nazanin" w:hint="cs"/>
          <w:sz w:val="28"/>
          <w:szCs w:val="28"/>
          <w:rtl/>
          <w:lang w:bidi="ar-SA"/>
        </w:rPr>
        <w:t xml:space="preserve"> متقاضی کلیه مستندات مربوطه را از طریق سامانه </w:t>
      </w:r>
      <w:hyperlink r:id="rId11" w:history="1">
        <w:r w:rsidRPr="005A0227">
          <w:rPr>
            <w:lang w:bidi="ar-SA"/>
          </w:rPr>
          <w:t>es.daneshbonyan.ir</w:t>
        </w:r>
      </w:hyperlink>
      <w:r w:rsidRPr="00EF6377">
        <w:rPr>
          <w:rFonts w:cs="B Nazanin" w:hint="cs"/>
          <w:sz w:val="28"/>
          <w:szCs w:val="28"/>
          <w:rtl/>
          <w:lang w:bidi="ar-SA"/>
        </w:rPr>
        <w:t xml:space="preserve"> بارگزاری کرده و پس از بررسی و تایید مدارک ارسالی، نسبت به پرداخت سهم حمایتی معاونت علمی و فناوری ریاست جمهوری در وجه </w:t>
      </w:r>
      <w:r w:rsidR="0047022E">
        <w:rPr>
          <w:rFonts w:cs="B Nazanin" w:hint="cs"/>
          <w:sz w:val="28"/>
          <w:szCs w:val="28"/>
          <w:rtl/>
          <w:lang w:bidi="ar-SA"/>
        </w:rPr>
        <w:t>هسته</w:t>
      </w:r>
      <w:r w:rsidRPr="00EF6377">
        <w:rPr>
          <w:rFonts w:cs="B Nazanin" w:hint="cs"/>
          <w:sz w:val="28"/>
          <w:szCs w:val="28"/>
          <w:rtl/>
          <w:lang w:bidi="ar-SA"/>
        </w:rPr>
        <w:t xml:space="preserve"> متقاضی اقدام می‌شود.</w:t>
      </w:r>
    </w:p>
    <w:p w:rsidR="006F2E50" w:rsidRPr="00EF6377" w:rsidRDefault="006F2E50" w:rsidP="0047022E">
      <w:pPr>
        <w:pStyle w:val="NormalWeb"/>
        <w:shd w:val="clear" w:color="auto" w:fill="FFFFFF"/>
        <w:bidi/>
        <w:spacing w:before="0" w:beforeAutospacing="0" w:after="0" w:afterAutospacing="0" w:line="0" w:lineRule="atLeast"/>
        <w:jc w:val="both"/>
        <w:rPr>
          <w:rFonts w:cs="B Nazanin"/>
          <w:sz w:val="28"/>
          <w:szCs w:val="28"/>
          <w:rtl/>
        </w:rPr>
      </w:pPr>
      <w:r w:rsidRPr="00EF6377">
        <w:rPr>
          <w:rFonts w:cs="B Nazanin" w:hint="cs"/>
          <w:b/>
          <w:bCs/>
          <w:sz w:val="28"/>
          <w:szCs w:val="28"/>
          <w:rtl/>
        </w:rPr>
        <w:t>تبصره 1-</w:t>
      </w:r>
      <w:r w:rsidRPr="00EF6377">
        <w:rPr>
          <w:rFonts w:cs="B Nazanin" w:hint="cs"/>
          <w:sz w:val="28"/>
          <w:szCs w:val="28"/>
          <w:rtl/>
        </w:rPr>
        <w:t xml:space="preserve"> مستندات: 1. قرارداد منعقد شده 2. ارائه فاکتور و کلیه مستندات مالی 3. نامه رسمی حاوی اطلاعات حساب (شماره حساب، کد شبا، نام بانک و کد شعبه)</w:t>
      </w:r>
    </w:p>
    <w:p w:rsidR="006F2E50" w:rsidRPr="00EF6377" w:rsidRDefault="006F2E50" w:rsidP="006F2E50">
      <w:pPr>
        <w:spacing w:after="240" w:line="0" w:lineRule="atLeast"/>
        <w:jc w:val="both"/>
        <w:rPr>
          <w:sz w:val="28"/>
          <w:rtl/>
          <w:lang w:bidi="fa-IR"/>
        </w:rPr>
      </w:pPr>
      <w:r w:rsidRPr="00EF6377">
        <w:rPr>
          <w:rFonts w:hint="cs"/>
          <w:b/>
          <w:bCs/>
          <w:sz w:val="28"/>
          <w:rtl/>
          <w:lang w:bidi="fa-IR"/>
        </w:rPr>
        <w:t>تبصره 2-</w:t>
      </w:r>
      <w:r w:rsidRPr="00EF6377">
        <w:rPr>
          <w:rFonts w:hint="cs"/>
          <w:sz w:val="28"/>
          <w:rtl/>
          <w:lang w:bidi="fa-IR"/>
        </w:rPr>
        <w:t xml:space="preserve"> موضوع قرارداد با توجه به بسته ی حمایتی باید شامل سرفصل‌های بیان شده در جدول هریک از بسته‌ها باشد. </w:t>
      </w:r>
    </w:p>
    <w:p w:rsidR="006F2E50" w:rsidRPr="00EF6377" w:rsidRDefault="006F2E50" w:rsidP="0047022E">
      <w:pPr>
        <w:spacing w:after="240" w:line="0" w:lineRule="atLeast"/>
        <w:jc w:val="both"/>
        <w:rPr>
          <w:sz w:val="28"/>
          <w:rtl/>
        </w:rPr>
      </w:pPr>
      <w:r w:rsidRPr="00EF6377">
        <w:rPr>
          <w:rFonts w:hint="cs"/>
          <w:b/>
          <w:bCs/>
          <w:sz w:val="28"/>
          <w:rtl/>
        </w:rPr>
        <w:t xml:space="preserve">تبصره </w:t>
      </w:r>
      <w:r w:rsidR="0047022E">
        <w:rPr>
          <w:rFonts w:hint="cs"/>
          <w:b/>
          <w:bCs/>
          <w:sz w:val="28"/>
          <w:rtl/>
        </w:rPr>
        <w:t>3</w:t>
      </w:r>
      <w:r w:rsidRPr="00EF6377">
        <w:rPr>
          <w:rFonts w:hint="cs"/>
          <w:b/>
          <w:bCs/>
          <w:sz w:val="28"/>
          <w:rtl/>
        </w:rPr>
        <w:t>-</w:t>
      </w:r>
      <w:r w:rsidRPr="00EF6377">
        <w:rPr>
          <w:rFonts w:hint="cs"/>
          <w:sz w:val="28"/>
          <w:rtl/>
        </w:rPr>
        <w:t xml:space="preserve"> در صورت تمایل </w:t>
      </w:r>
      <w:r w:rsidR="0047022E">
        <w:rPr>
          <w:rFonts w:hint="cs"/>
          <w:sz w:val="28"/>
          <w:rtl/>
        </w:rPr>
        <w:t>هسته</w:t>
      </w:r>
      <w:r w:rsidRPr="00EF6377">
        <w:rPr>
          <w:rFonts w:hint="cs"/>
          <w:sz w:val="28"/>
          <w:rtl/>
        </w:rPr>
        <w:t xml:space="preserve"> متقاضی به همکاری با سایر کارگزاران و مجریان بایستی صلاحیت آنان پیش از عقد قرارداد به تایید معاونت علمی و فناوری ریاست جمهوری رسیده باشد.</w:t>
      </w:r>
    </w:p>
    <w:p w:rsidR="006F2E50" w:rsidRPr="00EF6377" w:rsidRDefault="006F2E50" w:rsidP="0047022E">
      <w:pPr>
        <w:spacing w:after="240" w:line="0" w:lineRule="atLeast"/>
        <w:jc w:val="both"/>
        <w:rPr>
          <w:sz w:val="28"/>
          <w:rtl/>
        </w:rPr>
      </w:pPr>
      <w:r w:rsidRPr="00EF6377">
        <w:rPr>
          <w:rFonts w:hint="cs"/>
          <w:b/>
          <w:bCs/>
          <w:sz w:val="28"/>
          <w:rtl/>
        </w:rPr>
        <w:t xml:space="preserve">تبصره </w:t>
      </w:r>
      <w:r w:rsidR="0047022E">
        <w:rPr>
          <w:rFonts w:hint="cs"/>
          <w:b/>
          <w:bCs/>
          <w:sz w:val="28"/>
          <w:rtl/>
        </w:rPr>
        <w:t>4</w:t>
      </w:r>
      <w:r w:rsidRPr="00EF6377">
        <w:rPr>
          <w:rFonts w:hint="cs"/>
          <w:b/>
          <w:bCs/>
          <w:sz w:val="28"/>
          <w:rtl/>
        </w:rPr>
        <w:t>-</w:t>
      </w:r>
      <w:r w:rsidRPr="00EF6377">
        <w:rPr>
          <w:rFonts w:hint="cs"/>
          <w:sz w:val="28"/>
          <w:rtl/>
        </w:rPr>
        <w:t xml:space="preserve"> مسئولیت</w:t>
      </w:r>
      <w:r w:rsidRPr="00EF6377">
        <w:rPr>
          <w:rFonts w:hint="cs"/>
          <w:sz w:val="28"/>
          <w:rtl/>
        </w:rPr>
        <w:softHyphen/>
        <w:t xml:space="preserve"> اجرای درست و موثر پروژه بر عهده </w:t>
      </w:r>
      <w:r w:rsidR="0047022E">
        <w:rPr>
          <w:rFonts w:hint="cs"/>
          <w:sz w:val="28"/>
          <w:rtl/>
        </w:rPr>
        <w:t>هسته های</w:t>
      </w:r>
      <w:r w:rsidRPr="00EF6377">
        <w:rPr>
          <w:rFonts w:hint="cs"/>
          <w:sz w:val="28"/>
          <w:rtl/>
        </w:rPr>
        <w:t xml:space="preserve"> مورد حمایت می‌باشد. معاونت علمی و فناوری ریاست جمهوری تنها بر مبنای مستندات و گزارشات دریافتی، وجه حمایتی را اختصاص خواهد داد و در قبال دعاوی احتمالی بین </w:t>
      </w:r>
      <w:r w:rsidR="0047022E">
        <w:rPr>
          <w:rFonts w:hint="cs"/>
          <w:sz w:val="28"/>
          <w:rtl/>
        </w:rPr>
        <w:t>هسته ها</w:t>
      </w:r>
      <w:r w:rsidRPr="00EF6377">
        <w:rPr>
          <w:rFonts w:hint="cs"/>
          <w:sz w:val="28"/>
          <w:rtl/>
        </w:rPr>
        <w:t xml:space="preserve"> با کارگزاران خدماتی، هیچگونه مسئولیتی بر عهده ندارد.</w:t>
      </w:r>
    </w:p>
    <w:p w:rsidR="006F2E50" w:rsidRPr="00EF6377" w:rsidRDefault="006F2E50" w:rsidP="0047022E">
      <w:pPr>
        <w:spacing w:after="240" w:line="0" w:lineRule="atLeast"/>
        <w:jc w:val="both"/>
        <w:rPr>
          <w:sz w:val="28"/>
        </w:rPr>
      </w:pPr>
      <w:r w:rsidRPr="00EF6377">
        <w:rPr>
          <w:rFonts w:hint="cs"/>
          <w:b/>
          <w:bCs/>
          <w:sz w:val="28"/>
          <w:rtl/>
        </w:rPr>
        <w:lastRenderedPageBreak/>
        <w:t xml:space="preserve">تبصره </w:t>
      </w:r>
      <w:r w:rsidR="0047022E">
        <w:rPr>
          <w:rFonts w:hint="cs"/>
          <w:b/>
          <w:bCs/>
          <w:sz w:val="28"/>
          <w:rtl/>
        </w:rPr>
        <w:t>5</w:t>
      </w:r>
      <w:r w:rsidRPr="00EF6377">
        <w:rPr>
          <w:rFonts w:hint="cs"/>
          <w:b/>
          <w:bCs/>
          <w:sz w:val="28"/>
          <w:rtl/>
        </w:rPr>
        <w:t>-</w:t>
      </w:r>
      <w:r w:rsidRPr="00EF6377">
        <w:rPr>
          <w:rFonts w:hint="cs"/>
          <w:sz w:val="28"/>
          <w:rtl/>
        </w:rPr>
        <w:t xml:space="preserve"> </w:t>
      </w:r>
      <w:r w:rsidR="0047022E">
        <w:rPr>
          <w:rFonts w:hint="cs"/>
          <w:sz w:val="28"/>
          <w:rtl/>
        </w:rPr>
        <w:t>هسته های</w:t>
      </w:r>
      <w:r w:rsidRPr="00EF6377">
        <w:rPr>
          <w:rFonts w:hint="cs"/>
          <w:sz w:val="28"/>
          <w:rtl/>
        </w:rPr>
        <w:t xml:space="preserve"> متقاضی موظف هستند نسبت به پیگیری درخواست ثبت‌شده و ارسال مستندات مربوطه در زمان مقرر اقدام نمایند. در صورت عدم رعایت این مسئله، درخواست ثبت‌شده در سامانه منقضی و به صورت خودکار مردود خواهد</w:t>
      </w:r>
      <w:r w:rsidRPr="00EF6377">
        <w:rPr>
          <w:rFonts w:hint="cs"/>
          <w:sz w:val="28"/>
        </w:rPr>
        <w:t xml:space="preserve"> </w:t>
      </w:r>
      <w:r w:rsidRPr="00EF6377">
        <w:rPr>
          <w:rFonts w:hint="cs"/>
          <w:sz w:val="28"/>
          <w:rtl/>
        </w:rPr>
        <w:t xml:space="preserve">شد. </w:t>
      </w:r>
      <w:r w:rsidRPr="00EF6377">
        <w:rPr>
          <w:rFonts w:hint="cs"/>
          <w:sz w:val="28"/>
          <w:u w:val="single"/>
          <w:rtl/>
        </w:rPr>
        <w:t>این مدت زمان از ثبت درخواست تا تنظیم قرارداد با مجری، 1 ماه تعیین شده‌است.</w:t>
      </w:r>
    </w:p>
    <w:p w:rsidR="006F2E50" w:rsidRDefault="006F2E50" w:rsidP="006F2E50">
      <w:pPr>
        <w:spacing w:after="240" w:line="0" w:lineRule="atLeast"/>
        <w:jc w:val="both"/>
        <w:rPr>
          <w:sz w:val="28"/>
          <w:rtl/>
        </w:rPr>
      </w:pPr>
    </w:p>
    <w:p w:rsidR="00C87142" w:rsidRPr="006F2E50" w:rsidRDefault="009A5885" w:rsidP="009A5885">
      <w:pPr>
        <w:tabs>
          <w:tab w:val="left" w:pos="4020"/>
        </w:tabs>
        <w:rPr>
          <w:sz w:val="28"/>
          <w:szCs w:val="24"/>
          <w:rtl/>
        </w:rPr>
      </w:pPr>
      <w:r>
        <w:rPr>
          <w:sz w:val="28"/>
          <w:szCs w:val="24"/>
          <w:rtl/>
        </w:rPr>
        <w:tab/>
      </w:r>
      <w:bookmarkEnd w:id="1"/>
    </w:p>
    <w:sectPr w:rsidR="00C87142" w:rsidRPr="006F2E50" w:rsidSect="000B3EC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85" w:rsidRDefault="00F00085" w:rsidP="00D56BB0">
      <w:r>
        <w:separator/>
      </w:r>
    </w:p>
  </w:endnote>
  <w:endnote w:type="continuationSeparator" w:id="0">
    <w:p w:rsidR="00F00085" w:rsidRDefault="00F00085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85" w:rsidRDefault="00F00085" w:rsidP="00D56BB0">
      <w:r>
        <w:separator/>
      </w:r>
    </w:p>
  </w:footnote>
  <w:footnote w:type="continuationSeparator" w:id="0">
    <w:p w:rsidR="00F00085" w:rsidRDefault="00F00085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7F" w:rsidRPr="00E46C09" w:rsidRDefault="00F00085" w:rsidP="006F2E50">
    <w:pPr>
      <w:rPr>
        <w:rFonts w:ascii="IranNastaliq" w:hAnsi="IranNastaliq"/>
        <w:szCs w:val="24"/>
        <w:lang w:bidi="fa-IR"/>
      </w:rPr>
    </w:pPr>
    <w:r>
      <w:rPr>
        <w:noProof/>
        <w:lang w:bidi="fa-IR"/>
      </w:rPr>
      <w:pict>
        <v:line id="Straight Connector 13" o:spid="_x0000_s2052" style="position:absolute;left:0;text-align:left;flip:x;z-index:251659264;visibility:visible;mso-wrap-distance-left:3.17497mm;mso-wrap-distance-right:3.17497mm;mso-width-relative:margin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" strokecolor="black [3213]" strokeweight="3pt">
          <v:stroke linestyle="thinThin" joinstyle="miter"/>
          <o:lock v:ext="edit" shapetype="f"/>
        </v:line>
      </w:pict>
    </w:r>
    <w:r>
      <w:rPr>
        <w:noProof/>
        <w:lang w:bidi="fa-IR"/>
      </w:rPr>
      <w:pict>
        <v:line id="Straight Connector 16" o:spid="_x0000_s2051" style="position:absolute;left:0;text-align:left;flip:x;z-index:251660288;visibility:visible;mso-wrap-distance-top:-3e-5mm;mso-wrap-distance-bottom:-3e-5mm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" strokecolor="black [3213]" strokeweight="3pt">
          <v:stroke linestyle="thinThin" joinstyle="miter"/>
          <o:lock v:ext="edit" shapetype="f"/>
        </v:line>
      </w:pict>
    </w:r>
    <w:r w:rsidR="002F447F" w:rsidRPr="00E46C09">
      <w:rPr>
        <w:rFonts w:ascii="IranNastaliq" w:hAnsi="IranNastaliq" w:hint="cs"/>
        <w:szCs w:val="24"/>
        <w:rtl/>
        <w:lang w:bidi="fa-IR"/>
      </w:rPr>
      <w:t>شیوه</w:t>
    </w:r>
    <w:r w:rsidR="006F2E50">
      <w:rPr>
        <w:rFonts w:ascii="IranNastaliq" w:hAnsi="IranNastaliq" w:hint="cs"/>
        <w:szCs w:val="24"/>
        <w:rtl/>
        <w:lang w:bidi="fa-IR"/>
      </w:rPr>
      <w:t>‌</w:t>
    </w:r>
    <w:r w:rsidR="002F447F" w:rsidRPr="00E46C09">
      <w:rPr>
        <w:rFonts w:ascii="IranNastaliq" w:hAnsi="IranNastaliq" w:hint="cs"/>
        <w:szCs w:val="24"/>
        <w:rtl/>
        <w:lang w:bidi="fa-IR"/>
      </w:rPr>
      <w:t>نامه</w:t>
    </w:r>
    <w:r w:rsidR="00987BA3" w:rsidRPr="00E46C09">
      <w:rPr>
        <w:rFonts w:ascii="IranNastaliq" w:hAnsi="IranNastaliq" w:hint="cs"/>
        <w:szCs w:val="24"/>
        <w:rtl/>
        <w:lang w:bidi="fa-IR"/>
      </w:rPr>
      <w:t xml:space="preserve"> </w:t>
    </w:r>
    <w:r w:rsidR="006F2E50" w:rsidRPr="006F2E50">
      <w:rPr>
        <w:rFonts w:ascii="IranNastaliq" w:hAnsi="IranNastaliq" w:hint="cs"/>
        <w:szCs w:val="24"/>
        <w:rtl/>
        <w:lang w:bidi="fa-IR"/>
      </w:rPr>
      <w:t xml:space="preserve">بسته جامع حمایت از </w:t>
    </w:r>
    <w:r w:rsidR="006F2E50" w:rsidRPr="006F2E50">
      <w:rPr>
        <w:rFonts w:ascii="IranNastaliq" w:hAnsi="IranNastaliq"/>
        <w:szCs w:val="24"/>
        <w:rtl/>
        <w:lang w:bidi="fa-IR"/>
      </w:rPr>
      <w:t>خدمات راه انداز</w:t>
    </w:r>
    <w:r w:rsidR="006F2E50" w:rsidRPr="006F2E50">
      <w:rPr>
        <w:rFonts w:ascii="IranNastaliq" w:hAnsi="IranNastaliq" w:hint="cs"/>
        <w:szCs w:val="24"/>
        <w:rtl/>
        <w:lang w:bidi="fa-IR"/>
      </w:rPr>
      <w:t>ی</w:t>
    </w:r>
    <w:r w:rsidR="006F2E50" w:rsidRPr="006F2E50">
      <w:rPr>
        <w:rFonts w:ascii="IranNastaliq" w:hAnsi="IranNastaliq"/>
        <w:szCs w:val="24"/>
        <w:rtl/>
        <w:lang w:bidi="fa-IR"/>
      </w:rPr>
      <w:t xml:space="preserve"> کسب</w:t>
    </w:r>
    <w:r w:rsidR="006F2E50">
      <w:rPr>
        <w:rFonts w:ascii="IranNastaliq" w:hAnsi="IranNastaliq" w:hint="cs"/>
        <w:szCs w:val="24"/>
        <w:rtl/>
        <w:lang w:bidi="fa-IR"/>
      </w:rPr>
      <w:t>‌</w:t>
    </w:r>
    <w:r w:rsidR="006F2E50" w:rsidRPr="006F2E50">
      <w:rPr>
        <w:rFonts w:ascii="IranNastaliq" w:hAnsi="IranNastaliq"/>
        <w:szCs w:val="24"/>
        <w:rtl/>
        <w:lang w:bidi="fa-IR"/>
      </w:rPr>
      <w:t>وکا</w:t>
    </w:r>
    <w:r w:rsidR="006F2E50" w:rsidRPr="006F2E50">
      <w:rPr>
        <w:rFonts w:ascii="IranNastaliq" w:hAnsi="IranNastaliq" w:hint="cs"/>
        <w:szCs w:val="24"/>
        <w:rtl/>
        <w:lang w:bidi="fa-IR"/>
      </w:rPr>
      <w:t xml:space="preserve">ر </w:t>
    </w:r>
    <w:r w:rsidR="006F2E50">
      <w:rPr>
        <w:rFonts w:ascii="IranNastaliq" w:hAnsi="IranNastaliq" w:hint="cs"/>
        <w:szCs w:val="24"/>
        <w:rtl/>
        <w:lang w:bidi="fa-IR"/>
      </w:rPr>
      <w:t>هسته‌های</w:t>
    </w:r>
    <w:r w:rsidR="006F2E50" w:rsidRPr="006F2E50">
      <w:rPr>
        <w:rFonts w:ascii="IranNastaliq" w:hAnsi="IranNastaliq" w:hint="cs"/>
        <w:szCs w:val="24"/>
        <w:rtl/>
        <w:lang w:bidi="fa-IR"/>
      </w:rPr>
      <w:t xml:space="preserve"> مستعد دانش</w:t>
    </w:r>
    <w:r w:rsidR="006F2E50">
      <w:rPr>
        <w:rFonts w:ascii="IranNastaliq" w:hAnsi="IranNastaliq" w:hint="cs"/>
        <w:szCs w:val="24"/>
        <w:rtl/>
        <w:lang w:bidi="fa-IR"/>
      </w:rPr>
      <w:t>‌</w:t>
    </w:r>
    <w:r w:rsidR="006F2E50" w:rsidRPr="006F2E50">
      <w:rPr>
        <w:rFonts w:ascii="IranNastaliq" w:hAnsi="IranNastaliq" w:hint="cs"/>
        <w:szCs w:val="24"/>
        <w:rtl/>
        <w:lang w:bidi="fa-IR"/>
      </w:rPr>
      <w:t>بنیان، خلاق و فناور مستقر در پارک</w:t>
    </w:r>
  </w:p>
  <w:p w:rsidR="002F447F" w:rsidRDefault="00A50757">
    <w:pPr>
      <w:pStyle w:val="Header"/>
    </w:pPr>
    <w:r w:rsidRPr="008D6590">
      <w:rPr>
        <w:noProof/>
        <w:rtl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3412490</wp:posOffset>
          </wp:positionV>
          <wp:extent cx="495300" cy="454510"/>
          <wp:effectExtent l="0" t="0" r="0" b="0"/>
          <wp:wrapNone/>
          <wp:docPr id="1" name="Picture 1" descr="C:\Users\h.shokri\Dropbox\خدمات توانمندسازی\مرک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.shokri\Dropbox\خدمات توانمندسازی\مرکز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0085">
      <w:rPr>
        <w:rFonts w:cs="Times New Roman"/>
        <w:noProof/>
        <w:szCs w:val="24"/>
        <w:lang w:bidi="fa-IR"/>
      </w:rPr>
      <w:pict>
        <v:line id="Straight Connector 27" o:spid="_x0000_s2050" style="position:absolute;left:0;text-align:left;flip:x;z-index:251663360;visibility:visible;mso-position-horizontal-relative:text;mso-position-vertical-relative:text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" strokecolor="black [3213]" strokeweight="3pt">
          <v:stroke linestyle="thinThin" joinstyle="miter"/>
          <o:lock v:ext="edit" shapetype="f"/>
        </v:line>
      </w:pict>
    </w:r>
    <w:r w:rsidR="00F00085">
      <w:rPr>
        <w:rFonts w:cs="Times New Roman"/>
        <w:noProof/>
        <w:szCs w:val="24"/>
        <w:lang w:bidi="fa-I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49" type="#_x0000_t202" style="position:absolute;left:0;text-align:left;margin-left:-43.05pt;margin-top:304.75pt;width:16.15pt;height:18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" fillcolor="white [3201]">
          <v:path arrowok="t"/>
          <v:textbox inset="0,0,0,0">
            <w:txbxContent>
              <w:p w:rsidR="002F447F" w:rsidRDefault="00092FC2" w:rsidP="00D56BB0">
                <w:pPr>
                  <w:jc w:val="center"/>
                  <w:rPr>
                    <w:rFonts w:cs="B Zar"/>
                    <w:b/>
                    <w:szCs w:val="24"/>
                  </w:rPr>
                </w:pPr>
                <w:r>
                  <w:rPr>
                    <w:rFonts w:cs="B Zar"/>
                    <w:b/>
                    <w:szCs w:val="24"/>
                    <w:rtl/>
                  </w:rPr>
                  <w:fldChar w:fldCharType="begin"/>
                </w:r>
                <w:r w:rsidR="002F447F">
                  <w:rPr>
                    <w:rFonts w:cs="B Zar"/>
                    <w:b/>
                    <w:szCs w:val="24"/>
                  </w:rPr>
                  <w:instrText xml:space="preserve"> PAGE   \* MERGEFORMAT </w:instrText>
                </w:r>
                <w:r>
                  <w:rPr>
                    <w:rFonts w:cs="B Zar"/>
                    <w:b/>
                    <w:szCs w:val="24"/>
                    <w:rtl/>
                  </w:rPr>
                  <w:fldChar w:fldCharType="separate"/>
                </w:r>
                <w:r w:rsidR="009A5885">
                  <w:rPr>
                    <w:rFonts w:cs="B Zar"/>
                    <w:b/>
                    <w:noProof/>
                    <w:szCs w:val="24"/>
                    <w:rtl/>
                  </w:rPr>
                  <w:t>2</w:t>
                </w:r>
                <w:r>
                  <w:rPr>
                    <w:rFonts w:cs="B Zar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06D57"/>
    <w:multiLevelType w:val="hybridMultilevel"/>
    <w:tmpl w:val="BDCC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1165C"/>
    <w:multiLevelType w:val="hybridMultilevel"/>
    <w:tmpl w:val="C5D88BDE"/>
    <w:lvl w:ilvl="0" w:tplc="138AF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4153"/>
    <w:multiLevelType w:val="hybridMultilevel"/>
    <w:tmpl w:val="E4F2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82AA8"/>
    <w:multiLevelType w:val="multilevel"/>
    <w:tmpl w:val="E8468798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hint="default"/>
        <w:color w:val="auto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FCC027C"/>
    <w:multiLevelType w:val="multilevel"/>
    <w:tmpl w:val="DF287E3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1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184" w:hanging="1800"/>
      </w:pPr>
      <w:rPr>
        <w:rFonts w:hint="default"/>
      </w:rPr>
    </w:lvl>
  </w:abstractNum>
  <w:abstractNum w:abstractNumId="5">
    <w:nsid w:val="510C74D7"/>
    <w:multiLevelType w:val="hybridMultilevel"/>
    <w:tmpl w:val="9D869DE8"/>
    <w:lvl w:ilvl="0" w:tplc="6DFE20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517D"/>
    <w:multiLevelType w:val="hybridMultilevel"/>
    <w:tmpl w:val="9E70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A1EA9"/>
    <w:multiLevelType w:val="hybridMultilevel"/>
    <w:tmpl w:val="F7B2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jE2MTA1MTM1MTQ3tjBX0lEKTi0uzszPAykwqwUAtAT6biwAAAA="/>
  </w:docVars>
  <w:rsids>
    <w:rsidRoot w:val="00DB6B7B"/>
    <w:rsid w:val="00017147"/>
    <w:rsid w:val="00022A16"/>
    <w:rsid w:val="00056813"/>
    <w:rsid w:val="00056E95"/>
    <w:rsid w:val="00084EB5"/>
    <w:rsid w:val="00092FC2"/>
    <w:rsid w:val="000A3584"/>
    <w:rsid w:val="000A3680"/>
    <w:rsid w:val="000A597F"/>
    <w:rsid w:val="000B22C4"/>
    <w:rsid w:val="000B3EC2"/>
    <w:rsid w:val="000B79E3"/>
    <w:rsid w:val="000E0D92"/>
    <w:rsid w:val="0011428E"/>
    <w:rsid w:val="00126681"/>
    <w:rsid w:val="00141C64"/>
    <w:rsid w:val="00170B8B"/>
    <w:rsid w:val="001A4AAF"/>
    <w:rsid w:val="001C4853"/>
    <w:rsid w:val="00200734"/>
    <w:rsid w:val="00200E73"/>
    <w:rsid w:val="002279A6"/>
    <w:rsid w:val="0023203D"/>
    <w:rsid w:val="002426B9"/>
    <w:rsid w:val="0025251F"/>
    <w:rsid w:val="002C2403"/>
    <w:rsid w:val="002D62E4"/>
    <w:rsid w:val="002F447F"/>
    <w:rsid w:val="002F7E86"/>
    <w:rsid w:val="00300FB6"/>
    <w:rsid w:val="00344502"/>
    <w:rsid w:val="00364552"/>
    <w:rsid w:val="0037189F"/>
    <w:rsid w:val="00386AF0"/>
    <w:rsid w:val="003B6238"/>
    <w:rsid w:val="0040695A"/>
    <w:rsid w:val="00416FBB"/>
    <w:rsid w:val="00417D80"/>
    <w:rsid w:val="00435034"/>
    <w:rsid w:val="00447901"/>
    <w:rsid w:val="00450571"/>
    <w:rsid w:val="0046272B"/>
    <w:rsid w:val="0047022E"/>
    <w:rsid w:val="00492BF6"/>
    <w:rsid w:val="004A0E37"/>
    <w:rsid w:val="004B0417"/>
    <w:rsid w:val="004B6716"/>
    <w:rsid w:val="004D1DBF"/>
    <w:rsid w:val="004E2299"/>
    <w:rsid w:val="004E5424"/>
    <w:rsid w:val="00520323"/>
    <w:rsid w:val="00582B9F"/>
    <w:rsid w:val="005950D2"/>
    <w:rsid w:val="005A0227"/>
    <w:rsid w:val="005A47CD"/>
    <w:rsid w:val="005B4A9D"/>
    <w:rsid w:val="005D4E48"/>
    <w:rsid w:val="005F5BE7"/>
    <w:rsid w:val="00626C27"/>
    <w:rsid w:val="0063546D"/>
    <w:rsid w:val="00651CD1"/>
    <w:rsid w:val="00692B88"/>
    <w:rsid w:val="006A618B"/>
    <w:rsid w:val="006F1C3B"/>
    <w:rsid w:val="006F2E50"/>
    <w:rsid w:val="006F690E"/>
    <w:rsid w:val="00734670"/>
    <w:rsid w:val="00751D87"/>
    <w:rsid w:val="007A0701"/>
    <w:rsid w:val="007A4744"/>
    <w:rsid w:val="007D1460"/>
    <w:rsid w:val="00807075"/>
    <w:rsid w:val="00837120"/>
    <w:rsid w:val="00890881"/>
    <w:rsid w:val="008D1E9E"/>
    <w:rsid w:val="008D6590"/>
    <w:rsid w:val="0090555B"/>
    <w:rsid w:val="00950115"/>
    <w:rsid w:val="0096275E"/>
    <w:rsid w:val="00966804"/>
    <w:rsid w:val="00987BA3"/>
    <w:rsid w:val="0099445B"/>
    <w:rsid w:val="009A25C1"/>
    <w:rsid w:val="009A5885"/>
    <w:rsid w:val="009B7AE0"/>
    <w:rsid w:val="009C0A0B"/>
    <w:rsid w:val="009C585B"/>
    <w:rsid w:val="00A1549F"/>
    <w:rsid w:val="00A23669"/>
    <w:rsid w:val="00A3682A"/>
    <w:rsid w:val="00A47C63"/>
    <w:rsid w:val="00A50757"/>
    <w:rsid w:val="00A55B97"/>
    <w:rsid w:val="00A648F5"/>
    <w:rsid w:val="00A8455A"/>
    <w:rsid w:val="00A93553"/>
    <w:rsid w:val="00AA0EEB"/>
    <w:rsid w:val="00AA5D9A"/>
    <w:rsid w:val="00AE2576"/>
    <w:rsid w:val="00AE5984"/>
    <w:rsid w:val="00AF19AD"/>
    <w:rsid w:val="00B05317"/>
    <w:rsid w:val="00B07563"/>
    <w:rsid w:val="00B146F5"/>
    <w:rsid w:val="00B16C04"/>
    <w:rsid w:val="00B17735"/>
    <w:rsid w:val="00B20D3B"/>
    <w:rsid w:val="00B76E71"/>
    <w:rsid w:val="00BC0E68"/>
    <w:rsid w:val="00BD34D8"/>
    <w:rsid w:val="00BD6758"/>
    <w:rsid w:val="00C057E9"/>
    <w:rsid w:val="00C21AAE"/>
    <w:rsid w:val="00C63171"/>
    <w:rsid w:val="00C6370D"/>
    <w:rsid w:val="00C63CED"/>
    <w:rsid w:val="00C80EF9"/>
    <w:rsid w:val="00C87142"/>
    <w:rsid w:val="00CA3C6F"/>
    <w:rsid w:val="00CD290C"/>
    <w:rsid w:val="00CE156C"/>
    <w:rsid w:val="00D043A7"/>
    <w:rsid w:val="00D05255"/>
    <w:rsid w:val="00D131CF"/>
    <w:rsid w:val="00D14855"/>
    <w:rsid w:val="00D52FDE"/>
    <w:rsid w:val="00D56BB0"/>
    <w:rsid w:val="00D651F5"/>
    <w:rsid w:val="00D71CEB"/>
    <w:rsid w:val="00D743EA"/>
    <w:rsid w:val="00D75BEF"/>
    <w:rsid w:val="00DA149D"/>
    <w:rsid w:val="00DB1A6E"/>
    <w:rsid w:val="00DB6B7B"/>
    <w:rsid w:val="00DC0A3A"/>
    <w:rsid w:val="00DC26B5"/>
    <w:rsid w:val="00DE6BDA"/>
    <w:rsid w:val="00E22928"/>
    <w:rsid w:val="00E36C58"/>
    <w:rsid w:val="00E40CAE"/>
    <w:rsid w:val="00E46C09"/>
    <w:rsid w:val="00E506F9"/>
    <w:rsid w:val="00E55E9D"/>
    <w:rsid w:val="00E676DB"/>
    <w:rsid w:val="00E742A3"/>
    <w:rsid w:val="00ED2C09"/>
    <w:rsid w:val="00EE4949"/>
    <w:rsid w:val="00F00085"/>
    <w:rsid w:val="00F1255D"/>
    <w:rsid w:val="00F15032"/>
    <w:rsid w:val="00F15DD9"/>
    <w:rsid w:val="00F211E0"/>
    <w:rsid w:val="00F3646A"/>
    <w:rsid w:val="00F5248A"/>
    <w:rsid w:val="00F562BD"/>
    <w:rsid w:val="00F576DB"/>
    <w:rsid w:val="00F57AC6"/>
    <w:rsid w:val="00F7508B"/>
    <w:rsid w:val="00F765BB"/>
    <w:rsid w:val="00F87843"/>
    <w:rsid w:val="00FA5541"/>
    <w:rsid w:val="00FA5F30"/>
    <w:rsid w:val="00FB26D4"/>
    <w:rsid w:val="00FD1CB5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uiPriority w:val="9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7D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80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8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2E50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character" w:styleId="Hyperlink">
    <w:name w:val="Hyperlink"/>
    <w:basedOn w:val="DefaultParagraphFont"/>
    <w:unhideWhenUsed/>
    <w:rsid w:val="006F2E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daneshbonyan.i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s.daneshbonyan.i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3F78-D5A4-4458-B210-1BC3647E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daneshbonyan</dc:creator>
  <cp:keywords>hesabdari</cp:keywords>
  <cp:lastModifiedBy>noor</cp:lastModifiedBy>
  <cp:revision>6</cp:revision>
  <cp:lastPrinted>2021-05-19T07:09:00Z</cp:lastPrinted>
  <dcterms:created xsi:type="dcterms:W3CDTF">2022-05-22T06:43:00Z</dcterms:created>
  <dcterms:modified xsi:type="dcterms:W3CDTF">2022-08-21T13:06:00Z</dcterms:modified>
</cp:coreProperties>
</file>